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9E" w:rsidRPr="00452486" w:rsidRDefault="00E224F9" w:rsidP="00740D9E">
      <w:pPr>
        <w:jc w:val="center"/>
        <w:rPr>
          <w:szCs w:val="24"/>
        </w:rPr>
      </w:pPr>
      <w:bookmarkStart w:id="0" w:name="_GoBack"/>
      <w:bookmarkEnd w:id="0"/>
      <w:r>
        <w:rPr>
          <w:b/>
          <w:caps/>
          <w:sz w:val="36"/>
          <w:szCs w:val="36"/>
        </w:rPr>
        <w:t>Označení P</w:t>
      </w:r>
      <w:r w:rsidR="00740D9E" w:rsidRPr="00AB48A9">
        <w:rPr>
          <w:b/>
          <w:caps/>
          <w:sz w:val="36"/>
          <w:szCs w:val="36"/>
        </w:rPr>
        <w:t>racoviště zhotovitele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3060"/>
        <w:gridCol w:w="2183"/>
      </w:tblGrid>
      <w:tr w:rsidR="00740D9E" w:rsidRPr="00AB48A9" w:rsidTr="00A748D5">
        <w:trPr>
          <w:trHeight w:val="624"/>
        </w:trPr>
        <w:tc>
          <w:tcPr>
            <w:tcW w:w="10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b/>
                <w:sz w:val="32"/>
                <w:szCs w:val="32"/>
              </w:rPr>
            </w:pPr>
            <w:r w:rsidRPr="00A748D5">
              <w:rPr>
                <w:b/>
                <w:sz w:val="32"/>
                <w:szCs w:val="32"/>
              </w:rPr>
              <w:t>FIRMA</w:t>
            </w:r>
          </w:p>
        </w:tc>
      </w:tr>
      <w:tr w:rsidR="00740D9E" w:rsidRPr="00DE480D" w:rsidTr="00A748D5">
        <w:trPr>
          <w:trHeight w:val="624"/>
        </w:trPr>
        <w:tc>
          <w:tcPr>
            <w:tcW w:w="792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Odpovědný zástupce firmy v lokalitě</w:t>
            </w:r>
          </w:p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b/>
                <w:sz w:val="28"/>
                <w:szCs w:val="28"/>
              </w:rPr>
            </w:pPr>
            <w:r w:rsidRPr="00A748D5">
              <w:rPr>
                <w:b/>
                <w:sz w:val="28"/>
                <w:szCs w:val="28"/>
              </w:rPr>
              <w:t>TEL.</w:t>
            </w:r>
          </w:p>
        </w:tc>
      </w:tr>
      <w:tr w:rsidR="00740D9E" w:rsidRPr="00DE480D" w:rsidTr="00A748D5">
        <w:trPr>
          <w:trHeight w:val="624"/>
        </w:trPr>
        <w:tc>
          <w:tcPr>
            <w:tcW w:w="10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Název akce</w:t>
            </w:r>
          </w:p>
        </w:tc>
      </w:tr>
      <w:tr w:rsidR="00740D9E" w:rsidRPr="00DE480D" w:rsidTr="00A748D5">
        <w:trPr>
          <w:trHeight w:val="624"/>
        </w:trPr>
        <w:tc>
          <w:tcPr>
            <w:tcW w:w="101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Číslo PP</w:t>
            </w:r>
          </w:p>
        </w:tc>
      </w:tr>
      <w:tr w:rsidR="00740D9E" w:rsidRPr="00DE480D" w:rsidTr="00A748D5">
        <w:trPr>
          <w:trHeight w:val="624"/>
        </w:trPr>
        <w:tc>
          <w:tcPr>
            <w:tcW w:w="48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Zahájení akce</w:t>
            </w:r>
          </w:p>
        </w:tc>
        <w:tc>
          <w:tcPr>
            <w:tcW w:w="52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Plánované ukončení akce</w:t>
            </w:r>
          </w:p>
        </w:tc>
      </w:tr>
      <w:tr w:rsidR="00740D9E" w:rsidRPr="00DE480D" w:rsidTr="00A748D5">
        <w:trPr>
          <w:trHeight w:val="624"/>
        </w:trPr>
        <w:tc>
          <w:tcPr>
            <w:tcW w:w="792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Vedoucí práce</w:t>
            </w:r>
          </w:p>
        </w:tc>
        <w:tc>
          <w:tcPr>
            <w:tcW w:w="21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b/>
                <w:sz w:val="28"/>
                <w:szCs w:val="28"/>
              </w:rPr>
            </w:pPr>
            <w:r w:rsidRPr="00A748D5">
              <w:rPr>
                <w:b/>
                <w:sz w:val="28"/>
                <w:szCs w:val="28"/>
              </w:rPr>
              <w:t>TEL.</w:t>
            </w:r>
          </w:p>
        </w:tc>
      </w:tr>
      <w:tr w:rsidR="003F076B" w:rsidRPr="00DE480D" w:rsidTr="00A748D5">
        <w:trPr>
          <w:trHeight w:val="624"/>
        </w:trPr>
        <w:tc>
          <w:tcPr>
            <w:tcW w:w="792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076B" w:rsidRPr="00A748D5" w:rsidRDefault="003F076B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Přípravář úkolu PP</w:t>
            </w:r>
          </w:p>
        </w:tc>
        <w:tc>
          <w:tcPr>
            <w:tcW w:w="21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076B" w:rsidRPr="00A748D5" w:rsidRDefault="003F076B" w:rsidP="00A748D5">
            <w:pPr>
              <w:spacing w:before="60" w:after="60"/>
              <w:rPr>
                <w:b/>
                <w:sz w:val="28"/>
                <w:szCs w:val="28"/>
              </w:rPr>
            </w:pPr>
            <w:r w:rsidRPr="00A748D5">
              <w:rPr>
                <w:b/>
                <w:sz w:val="28"/>
                <w:szCs w:val="28"/>
              </w:rPr>
              <w:t>TEL.</w:t>
            </w:r>
          </w:p>
        </w:tc>
      </w:tr>
      <w:tr w:rsidR="00740D9E" w:rsidRPr="00DE480D" w:rsidTr="00A748D5">
        <w:trPr>
          <w:trHeight w:val="624"/>
        </w:trPr>
        <w:tc>
          <w:tcPr>
            <w:tcW w:w="792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Technický dozor ČEZ, a. s.</w:t>
            </w:r>
          </w:p>
        </w:tc>
        <w:tc>
          <w:tcPr>
            <w:tcW w:w="21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b/>
                <w:sz w:val="28"/>
                <w:szCs w:val="28"/>
              </w:rPr>
            </w:pPr>
            <w:r w:rsidRPr="00A748D5">
              <w:rPr>
                <w:b/>
                <w:sz w:val="28"/>
                <w:szCs w:val="28"/>
              </w:rPr>
              <w:t>TEL.</w:t>
            </w:r>
          </w:p>
        </w:tc>
      </w:tr>
      <w:tr w:rsidR="00740D9E" w:rsidRPr="00DE480D" w:rsidTr="00A748D5">
        <w:trPr>
          <w:trHeight w:val="624"/>
        </w:trPr>
        <w:tc>
          <w:tcPr>
            <w:tcW w:w="792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Zástupce hlavního dodavatele</w:t>
            </w:r>
          </w:p>
        </w:tc>
        <w:tc>
          <w:tcPr>
            <w:tcW w:w="21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b/>
                <w:sz w:val="28"/>
                <w:szCs w:val="28"/>
              </w:rPr>
            </w:pPr>
            <w:r w:rsidRPr="00A748D5">
              <w:rPr>
                <w:b/>
                <w:sz w:val="28"/>
                <w:szCs w:val="28"/>
              </w:rPr>
              <w:t>TEL.</w:t>
            </w:r>
          </w:p>
        </w:tc>
      </w:tr>
    </w:tbl>
    <w:p w:rsidR="00740D9E" w:rsidRPr="00DE480D" w:rsidRDefault="00740D9E" w:rsidP="00740D9E">
      <w:pPr>
        <w:rPr>
          <w:sz w:val="28"/>
          <w:szCs w:val="28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4163"/>
      </w:tblGrid>
      <w:tr w:rsidR="00740D9E" w:rsidRPr="00DE480D" w:rsidTr="00A748D5">
        <w:trPr>
          <w:trHeight w:val="567"/>
        </w:trPr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rPr>
                <w:b/>
                <w:color w:val="FFFFFF"/>
                <w:sz w:val="28"/>
                <w:szCs w:val="28"/>
              </w:rPr>
            </w:pPr>
            <w:r w:rsidRPr="00A748D5">
              <w:rPr>
                <w:b/>
                <w:color w:val="FFFFFF"/>
                <w:sz w:val="28"/>
                <w:szCs w:val="28"/>
              </w:rPr>
              <w:t>RIZIKA NA PRACOVIŠTI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40D9E" w:rsidRPr="00A748D5" w:rsidRDefault="00740D9E" w:rsidP="00EB0607">
            <w:pPr>
              <w:spacing w:before="60" w:after="60"/>
              <w:rPr>
                <w:b/>
                <w:color w:val="FFFFFF"/>
                <w:sz w:val="28"/>
                <w:szCs w:val="28"/>
              </w:rPr>
            </w:pPr>
            <w:r w:rsidRPr="00A748D5">
              <w:rPr>
                <w:b/>
                <w:color w:val="FFFFFF"/>
                <w:sz w:val="28"/>
                <w:szCs w:val="28"/>
              </w:rPr>
              <w:t>Platí X</w:t>
            </w:r>
          </w:p>
        </w:tc>
        <w:tc>
          <w:tcPr>
            <w:tcW w:w="41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rPr>
                <w:b/>
                <w:color w:val="FFFFFF"/>
                <w:sz w:val="28"/>
                <w:szCs w:val="28"/>
              </w:rPr>
            </w:pPr>
            <w:r w:rsidRPr="00A748D5">
              <w:rPr>
                <w:b/>
                <w:color w:val="FFFFFF"/>
                <w:sz w:val="28"/>
                <w:szCs w:val="28"/>
              </w:rPr>
              <w:t>RIZIKA NA PRACOVIŠTI</w:t>
            </w:r>
          </w:p>
        </w:tc>
      </w:tr>
      <w:tr w:rsidR="00740D9E" w:rsidRPr="00DE480D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jc w:val="center"/>
              <w:rPr>
                <w:color w:val="FFFFFF"/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</w:rPr>
              <w:t>Omezený průchod, průjezd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  <w:highlight w:val="red"/>
              </w:rPr>
              <w:t>Jiná rizika</w:t>
            </w:r>
          </w:p>
        </w:tc>
      </w:tr>
      <w:tr w:rsidR="00740D9E" w:rsidRPr="00DE480D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jc w:val="center"/>
              <w:rPr>
                <w:color w:val="FFFFFF"/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</w:rPr>
              <w:t>Práce s otevřeným ohněm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41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  <w:highlight w:val="red"/>
              </w:rPr>
              <w:t xml:space="preserve">  </w:t>
            </w:r>
            <w:r w:rsidRPr="00A748D5">
              <w:rPr>
                <w:color w:val="FFFFFF"/>
                <w:sz w:val="28"/>
                <w:szCs w:val="28"/>
              </w:rPr>
              <w:t xml:space="preserve">   </w:t>
            </w:r>
          </w:p>
        </w:tc>
      </w:tr>
      <w:tr w:rsidR="00740D9E" w:rsidRPr="00DE480D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jc w:val="center"/>
              <w:rPr>
                <w:color w:val="FFFFFF"/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</w:rPr>
              <w:t>Broušení, řezání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740D9E" w:rsidRPr="00DE480D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jc w:val="center"/>
              <w:rPr>
                <w:color w:val="FFFFFF"/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</w:rPr>
              <w:t>Otvory v podlaze – práce nad volnou hloubkou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740D9E" w:rsidRPr="00DE480D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jc w:val="center"/>
              <w:rPr>
                <w:color w:val="FFFFFF"/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</w:rPr>
              <w:t>Montáž, demontáž lešení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740D9E" w:rsidRPr="00DE480D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ind w:left="-108"/>
              <w:jc w:val="center"/>
              <w:rPr>
                <w:color w:val="FFFFFF"/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</w:rPr>
              <w:t>Odstranění zábran, krytů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ind w:left="-108"/>
              <w:rPr>
                <w:color w:val="FFFFFF"/>
                <w:sz w:val="28"/>
                <w:szCs w:val="28"/>
              </w:rPr>
            </w:pPr>
          </w:p>
        </w:tc>
        <w:tc>
          <w:tcPr>
            <w:tcW w:w="41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ind w:right="284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 xml:space="preserve">Opatření </w:t>
            </w:r>
          </w:p>
          <w:p w:rsidR="00740D9E" w:rsidRPr="00A748D5" w:rsidRDefault="00740D9E" w:rsidP="00A748D5">
            <w:pPr>
              <w:spacing w:before="60" w:after="60"/>
              <w:ind w:right="284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Před vstupem na pracoviště se informuj o přijatých opatřeních u vedoucího práce!</w:t>
            </w:r>
          </w:p>
          <w:p w:rsidR="00740D9E" w:rsidRPr="00A748D5" w:rsidRDefault="00740D9E" w:rsidP="00A748D5">
            <w:pPr>
              <w:spacing w:before="60" w:after="60"/>
              <w:ind w:right="284"/>
              <w:rPr>
                <w:color w:val="FFFFFF"/>
                <w:sz w:val="28"/>
                <w:szCs w:val="28"/>
              </w:rPr>
            </w:pPr>
          </w:p>
          <w:p w:rsidR="00740D9E" w:rsidRPr="00A748D5" w:rsidRDefault="00740D9E" w:rsidP="00A748D5">
            <w:pPr>
              <w:spacing w:before="60" w:after="6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740D9E" w:rsidRPr="00DE480D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ind w:left="-108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A748D5">
              <w:rPr>
                <w:color w:val="FFFFFF"/>
                <w:sz w:val="28"/>
                <w:szCs w:val="28"/>
              </w:rPr>
              <w:t>Práce se zdvihacím zařízením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740D9E" w:rsidRPr="00DE480D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ind w:left="72" w:hanging="180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A748D5">
              <w:rPr>
                <w:color w:val="FFFFFF"/>
                <w:sz w:val="28"/>
                <w:szCs w:val="28"/>
              </w:rPr>
              <w:t>Manipulace s objemnými břemeny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740D9E" w:rsidRPr="00DE480D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ind w:left="72" w:hanging="180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A748D5">
              <w:rPr>
                <w:color w:val="FFFFFF"/>
                <w:sz w:val="28"/>
                <w:szCs w:val="28"/>
              </w:rPr>
              <w:t>Nebezpečí pádu předmětů z výšky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740D9E" w:rsidRPr="00DE480D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740D9E" w:rsidRPr="00A748D5" w:rsidRDefault="00740D9E" w:rsidP="00A748D5">
            <w:pPr>
              <w:spacing w:before="60" w:after="60"/>
              <w:ind w:left="-108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A748D5">
              <w:rPr>
                <w:color w:val="FFFFFF"/>
                <w:sz w:val="28"/>
                <w:szCs w:val="28"/>
              </w:rPr>
              <w:t>Práce s chemikáliemi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D9E" w:rsidRPr="00A748D5" w:rsidRDefault="00740D9E" w:rsidP="00A748D5">
            <w:pPr>
              <w:spacing w:before="60" w:after="60"/>
              <w:ind w:right="284"/>
              <w:rPr>
                <w:color w:val="FFFFFF"/>
                <w:sz w:val="28"/>
                <w:szCs w:val="28"/>
              </w:rPr>
            </w:pPr>
          </w:p>
        </w:tc>
      </w:tr>
    </w:tbl>
    <w:p w:rsidR="00740D9E" w:rsidRDefault="00740D9E"/>
    <w:sectPr w:rsidR="00740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02" w:rsidRDefault="005A7702" w:rsidP="00A35192">
      <w:r>
        <w:separator/>
      </w:r>
    </w:p>
  </w:endnote>
  <w:endnote w:type="continuationSeparator" w:id="0">
    <w:p w:rsidR="005A7702" w:rsidRDefault="005A7702" w:rsidP="00A3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3A" w:rsidRDefault="007E36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92" w:rsidRPr="00A35192" w:rsidRDefault="00A35192">
    <w:pPr>
      <w:pStyle w:val="Zpat"/>
      <w:rPr>
        <w:sz w:val="20"/>
        <w:szCs w:val="20"/>
      </w:rPr>
    </w:pPr>
    <w:r w:rsidRPr="00A35192">
      <w:rPr>
        <w:sz w:val="20"/>
        <w:szCs w:val="20"/>
      </w:rPr>
      <w:t>ČEZ_FO_0583</w:t>
    </w:r>
    <w:r w:rsidR="007E363A">
      <w:rPr>
        <w:sz w:val="20"/>
        <w:szCs w:val="20"/>
      </w:rPr>
      <w:t>r01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3A" w:rsidRDefault="007E36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02" w:rsidRDefault="005A7702" w:rsidP="00A35192">
      <w:r>
        <w:separator/>
      </w:r>
    </w:p>
  </w:footnote>
  <w:footnote w:type="continuationSeparator" w:id="0">
    <w:p w:rsidR="005A7702" w:rsidRDefault="005A7702" w:rsidP="00A35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3A" w:rsidRDefault="007E36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3A" w:rsidRDefault="007E363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3A" w:rsidRDefault="007E36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89"/>
    <w:rsid w:val="00022C73"/>
    <w:rsid w:val="00332D89"/>
    <w:rsid w:val="003F076B"/>
    <w:rsid w:val="00506E29"/>
    <w:rsid w:val="005A7702"/>
    <w:rsid w:val="005B2D1D"/>
    <w:rsid w:val="00740D9E"/>
    <w:rsid w:val="007E363A"/>
    <w:rsid w:val="008278EF"/>
    <w:rsid w:val="00A35192"/>
    <w:rsid w:val="00A644A6"/>
    <w:rsid w:val="00A748D5"/>
    <w:rsid w:val="00AD0A29"/>
    <w:rsid w:val="00CD1697"/>
    <w:rsid w:val="00D927E9"/>
    <w:rsid w:val="00E224F9"/>
    <w:rsid w:val="00EB0607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0D9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Tabulka seznamování"/>
    <w:basedOn w:val="Normlntabulka"/>
    <w:rsid w:val="00740D9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paragraph" w:styleId="Zhlav">
    <w:name w:val="header"/>
    <w:basedOn w:val="Normln"/>
    <w:link w:val="ZhlavChar"/>
    <w:rsid w:val="00A351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35192"/>
    <w:rPr>
      <w:rFonts w:ascii="Arial" w:hAnsi="Arial" w:cs="Arial"/>
      <w:sz w:val="22"/>
      <w:szCs w:val="22"/>
    </w:rPr>
  </w:style>
  <w:style w:type="paragraph" w:styleId="Zpat">
    <w:name w:val="footer"/>
    <w:basedOn w:val="Normln"/>
    <w:link w:val="ZpatChar"/>
    <w:rsid w:val="00A351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35192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0D9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Tabulka seznamování"/>
    <w:basedOn w:val="Normlntabulka"/>
    <w:rsid w:val="00740D9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paragraph" w:styleId="Zhlav">
    <w:name w:val="header"/>
    <w:basedOn w:val="Normln"/>
    <w:link w:val="ZhlavChar"/>
    <w:rsid w:val="00A351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35192"/>
    <w:rPr>
      <w:rFonts w:ascii="Arial" w:hAnsi="Arial" w:cs="Arial"/>
      <w:sz w:val="22"/>
      <w:szCs w:val="22"/>
    </w:rPr>
  </w:style>
  <w:style w:type="paragraph" w:styleId="Zpat">
    <w:name w:val="footer"/>
    <w:basedOn w:val="Normln"/>
    <w:link w:val="ZpatChar"/>
    <w:rsid w:val="00A351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3519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ata\CEZ%20Skupina\Dodavatele\20160912-pravidla-chovani\CEZ_FO_0583r0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CEZ_FO_0583r01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ČEZ_FO_0583r01 - Označení pracoviště zhotovitele</vt:lpstr>
    </vt:vector>
  </TitlesOfParts>
  <Company>ČEZICT Services, a. s.</Company>
  <LinksUpToDate>false</LinksUpToDate>
  <CharactersWithSpaces>719</CharactersWithSpaces>
  <SharedDoc>false</SharedDoc>
  <HyperlinkBase>http://ecmpce1.cezdata.corp/ECM_RD/EcmRdGetContent.jsp?ecmrdgetcontent=1&amp;docId={D9AD3FA1-7E03-4884-8B51-96D157FEBE53}&amp;id=document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ČEZ_FO_0583r01 - Označení pracoviště zhotovitele</dc:title>
  <dc:subject>vychází z ČEZ_PP_0292</dc:subject>
  <dc:creator>Beneš Václav</dc:creator>
  <dc:description>vychází z ČEZ_ME-EDU_0004</dc:description>
  <cp:lastModifiedBy>Beneš Václav</cp:lastModifiedBy>
  <cp:revision>1</cp:revision>
  <cp:lastPrinted>1900-12-31T22:00:00Z</cp:lastPrinted>
  <dcterms:created xsi:type="dcterms:W3CDTF">2016-09-12T09:36:00Z</dcterms:created>
  <dcterms:modified xsi:type="dcterms:W3CDTF">2016-09-12T09:36:00Z</dcterms:modified>
</cp:coreProperties>
</file>