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B73" w:rsidRPr="005609BB" w:rsidRDefault="00DB4446" w:rsidP="00AB0B73">
      <w:pPr>
        <w:jc w:val="both"/>
        <w:rPr>
          <w:i/>
          <w:iCs/>
          <w:sz w:val="32"/>
          <w:szCs w:val="32"/>
        </w:rPr>
      </w:pPr>
      <w:bookmarkStart w:id="0" w:name="_Hlk71608433"/>
      <w:bookmarkEnd w:id="0"/>
      <w:r w:rsidRPr="00DB4446">
        <w:rPr>
          <w:i/>
          <w:iCs/>
          <w:sz w:val="32"/>
          <w:szCs w:val="32"/>
        </w:rPr>
        <w:t>Operační program Podnikání a inovace pro konkurenceschopnost (OP PIK)</w:t>
      </w:r>
      <w:r w:rsidR="00AB0B73" w:rsidRPr="005609BB">
        <w:rPr>
          <w:i/>
          <w:iCs/>
          <w:sz w:val="32"/>
          <w:szCs w:val="32"/>
        </w:rPr>
        <w:t>, Prioritní osa 3 - Účinné nakládání energií, rozvoj energetické infrastruktury a obnovitelných zdrojů energie, podpora zavádění nových technologií v oblasti nakládání energií a druhotných surovin.</w:t>
      </w:r>
    </w:p>
    <w:p w:rsidR="00DB4446" w:rsidRDefault="00DB4446" w:rsidP="00AB0B73">
      <w:pPr>
        <w:jc w:val="both"/>
      </w:pPr>
      <w:r w:rsidRPr="00DB4446">
        <w:t>Na základě žádosti o podporu ze dne 16. 10. 2017, v souladu s § 14 zákona č. 218/2000 Sb., o rozpočtových pravidlech a o změně některých souvisejících zákonů, a v souladu s interními postupy Ministerstva průmyslu a obchodu pro hodnocení projektů, byl uznán níže uvedený projekt za přijatelný a způsobilý k poskytnutí dotace v souladu s cíli programu podpory OP PIK Úspory energie - Fotovoltaické systémy s/bez akumulace pro vlastní spotřebu, I. výzva a bylo rozhodnuto o poskytnutí dotace na tento stanovený účel:</w:t>
      </w:r>
    </w:p>
    <w:p w:rsidR="00D67861" w:rsidRDefault="00DB4446" w:rsidP="00AB0B73">
      <w:pPr>
        <w:jc w:val="both"/>
        <w:rPr>
          <w:b/>
          <w:bCs/>
          <w:color w:val="FF9933"/>
          <w:sz w:val="28"/>
          <w:szCs w:val="28"/>
        </w:rPr>
      </w:pPr>
      <w:r>
        <w:rPr>
          <w:b/>
          <w:bCs/>
          <w:color w:val="FF9933"/>
          <w:sz w:val="28"/>
          <w:szCs w:val="28"/>
        </w:rPr>
        <w:t xml:space="preserve">FVE </w:t>
      </w:r>
      <w:r w:rsidR="003933A2">
        <w:rPr>
          <w:b/>
          <w:bCs/>
          <w:color w:val="FF9933"/>
          <w:sz w:val="28"/>
          <w:szCs w:val="28"/>
        </w:rPr>
        <w:t>- Benešov</w:t>
      </w:r>
    </w:p>
    <w:p w:rsidR="00D67861" w:rsidRPr="00D67861" w:rsidRDefault="00D67861" w:rsidP="00D67861">
      <w:pPr>
        <w:pStyle w:val="Default"/>
        <w:rPr>
          <w:color w:val="auto"/>
        </w:rPr>
      </w:pPr>
      <w:r w:rsidRPr="00D67861">
        <w:rPr>
          <w:color w:val="auto"/>
          <w:sz w:val="28"/>
          <w:szCs w:val="28"/>
        </w:rPr>
        <w:t xml:space="preserve">Registrační číslo projektu (MS2014+): </w:t>
      </w:r>
      <w:r w:rsidR="003933A2" w:rsidRPr="003933A2">
        <w:rPr>
          <w:color w:val="auto"/>
        </w:rPr>
        <w:t>CZ.01.3.10/0.0/0.0/17_138/0011577</w:t>
      </w:r>
    </w:p>
    <w:p w:rsidR="00AB0B73" w:rsidRDefault="000F54BC" w:rsidP="00AB0B73">
      <w:pPr>
        <w:jc w:val="both"/>
      </w:pPr>
      <w:r>
        <w:t xml:space="preserve">Celkové ukazatele </w:t>
      </w:r>
      <w:r w:rsidR="00591B1A">
        <w:t>výzvy</w:t>
      </w:r>
      <w:r>
        <w:t>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1"/>
        <w:gridCol w:w="2268"/>
        <w:gridCol w:w="1559"/>
      </w:tblGrid>
      <w:tr w:rsidR="003933A2" w:rsidRPr="003933A2" w:rsidTr="003933A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781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b/>
                <w:bCs/>
                <w:color w:val="000000"/>
              </w:rPr>
              <w:t xml:space="preserve">Název </w:t>
            </w:r>
          </w:p>
        </w:tc>
        <w:tc>
          <w:tcPr>
            <w:tcW w:w="2268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b/>
                <w:bCs/>
                <w:color w:val="000000"/>
              </w:rPr>
              <w:t xml:space="preserve">Částka celkem </w:t>
            </w:r>
          </w:p>
        </w:tc>
        <w:tc>
          <w:tcPr>
            <w:tcW w:w="1559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b/>
                <w:bCs/>
                <w:color w:val="000000"/>
              </w:rPr>
              <w:t xml:space="preserve">Procento </w:t>
            </w:r>
          </w:p>
        </w:tc>
      </w:tr>
      <w:tr w:rsidR="003933A2" w:rsidRPr="003933A2" w:rsidTr="003933A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781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Celkové výdaje </w:t>
            </w:r>
          </w:p>
        </w:tc>
        <w:tc>
          <w:tcPr>
            <w:tcW w:w="2268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1 878 929,75 </w:t>
            </w:r>
          </w:p>
        </w:tc>
        <w:tc>
          <w:tcPr>
            <w:tcW w:w="1559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100,00 </w:t>
            </w:r>
          </w:p>
        </w:tc>
      </w:tr>
      <w:tr w:rsidR="003933A2" w:rsidRPr="003933A2" w:rsidTr="003933A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781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Celkové nezpůsobilé výdaje </w:t>
            </w:r>
          </w:p>
        </w:tc>
        <w:tc>
          <w:tcPr>
            <w:tcW w:w="2268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368 520,75 </w:t>
            </w:r>
          </w:p>
        </w:tc>
        <w:tc>
          <w:tcPr>
            <w:tcW w:w="1559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19,61 </w:t>
            </w:r>
          </w:p>
        </w:tc>
      </w:tr>
      <w:tr w:rsidR="003933A2" w:rsidRPr="003933A2" w:rsidTr="003933A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781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Celkové způsobilé výdaje </w:t>
            </w:r>
          </w:p>
        </w:tc>
        <w:tc>
          <w:tcPr>
            <w:tcW w:w="2268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1 510 409,00 </w:t>
            </w:r>
          </w:p>
        </w:tc>
        <w:tc>
          <w:tcPr>
            <w:tcW w:w="1559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80,39 </w:t>
            </w:r>
          </w:p>
        </w:tc>
      </w:tr>
      <w:tr w:rsidR="003933A2" w:rsidRPr="003933A2" w:rsidTr="003933A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781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Celkové způsobilé výdaje - investiční </w:t>
            </w:r>
          </w:p>
        </w:tc>
        <w:tc>
          <w:tcPr>
            <w:tcW w:w="2268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1 510 409,00 </w:t>
            </w:r>
          </w:p>
        </w:tc>
        <w:tc>
          <w:tcPr>
            <w:tcW w:w="1559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80,39 </w:t>
            </w:r>
          </w:p>
        </w:tc>
      </w:tr>
      <w:tr w:rsidR="003933A2" w:rsidRPr="003933A2" w:rsidTr="003933A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781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Stavební práce / Rekonstrukce a modernizace staveb </w:t>
            </w:r>
          </w:p>
        </w:tc>
        <w:tc>
          <w:tcPr>
            <w:tcW w:w="2268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236 039,63 </w:t>
            </w:r>
          </w:p>
        </w:tc>
        <w:tc>
          <w:tcPr>
            <w:tcW w:w="1559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12,56 </w:t>
            </w:r>
          </w:p>
        </w:tc>
      </w:tr>
      <w:tr w:rsidR="003933A2" w:rsidRPr="003933A2" w:rsidTr="003933A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781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Stroje a zařízení včetně řídicího softwaru </w:t>
            </w:r>
          </w:p>
        </w:tc>
        <w:tc>
          <w:tcPr>
            <w:tcW w:w="2268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1 175 369,37 </w:t>
            </w:r>
          </w:p>
        </w:tc>
        <w:tc>
          <w:tcPr>
            <w:tcW w:w="1559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62,56 </w:t>
            </w:r>
          </w:p>
        </w:tc>
      </w:tr>
      <w:tr w:rsidR="003933A2" w:rsidRPr="003933A2" w:rsidTr="003933A2">
        <w:tblPrEx>
          <w:tblCellMar>
            <w:top w:w="0" w:type="dxa"/>
            <w:bottom w:w="0" w:type="dxa"/>
          </w:tblCellMar>
        </w:tblPrEx>
        <w:trPr>
          <w:trHeight w:val="110"/>
        </w:trPr>
        <w:tc>
          <w:tcPr>
            <w:tcW w:w="4781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Projektová a inženýrská činnost </w:t>
            </w:r>
          </w:p>
        </w:tc>
        <w:tc>
          <w:tcPr>
            <w:tcW w:w="2268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99 000,00 </w:t>
            </w:r>
          </w:p>
        </w:tc>
        <w:tc>
          <w:tcPr>
            <w:tcW w:w="1559" w:type="dxa"/>
          </w:tcPr>
          <w:p w:rsidR="003933A2" w:rsidRPr="003933A2" w:rsidRDefault="003933A2" w:rsidP="003933A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933A2">
              <w:rPr>
                <w:rFonts w:ascii="Calibri" w:hAnsi="Calibri" w:cs="Calibri"/>
                <w:color w:val="000000"/>
              </w:rPr>
              <w:t xml:space="preserve">5,27 </w:t>
            </w:r>
          </w:p>
        </w:tc>
      </w:tr>
    </w:tbl>
    <w:p w:rsidR="001E503D" w:rsidRPr="001E503D" w:rsidRDefault="001E503D" w:rsidP="001E503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  <w:sz w:val="24"/>
          <w:szCs w:val="24"/>
        </w:rPr>
      </w:pPr>
    </w:p>
    <w:p w:rsidR="001E503D" w:rsidRPr="00156BC7" w:rsidRDefault="001E503D" w:rsidP="00156BC7">
      <w:pPr>
        <w:jc w:val="both"/>
        <w:rPr>
          <w:b/>
          <w:bCs/>
          <w:sz w:val="28"/>
          <w:szCs w:val="28"/>
        </w:rPr>
      </w:pPr>
      <w:r w:rsidRPr="00156BC7">
        <w:rPr>
          <w:rFonts w:ascii="Calibri" w:hAnsi="Calibri" w:cs="Calibri"/>
          <w:b/>
          <w:bCs/>
          <w:color w:val="000000"/>
          <w:sz w:val="28"/>
          <w:szCs w:val="28"/>
        </w:rPr>
        <w:t>Maximální možná výše dotace je:</w:t>
      </w:r>
      <w:r w:rsidR="00802E47" w:rsidRPr="00802E47">
        <w:t xml:space="preserve"> </w:t>
      </w:r>
      <w:r w:rsidR="003933A2">
        <w:rPr>
          <w:rFonts w:ascii="Calibri" w:hAnsi="Calibri" w:cs="Calibri"/>
          <w:b/>
          <w:bCs/>
          <w:color w:val="000000"/>
          <w:sz w:val="28"/>
          <w:szCs w:val="28"/>
        </w:rPr>
        <w:t>906 245,4</w:t>
      </w:r>
      <w:r w:rsidR="00802E47" w:rsidRPr="00802E47">
        <w:rPr>
          <w:rFonts w:ascii="Calibri" w:hAnsi="Calibri" w:cs="Calibri"/>
          <w:b/>
          <w:bCs/>
          <w:color w:val="000000"/>
          <w:sz w:val="28"/>
          <w:szCs w:val="28"/>
        </w:rPr>
        <w:t xml:space="preserve"> Kč</w:t>
      </w:r>
      <w:r w:rsidR="00802E47">
        <w:rPr>
          <w:rFonts w:ascii="Calibri" w:hAnsi="Calibri" w:cs="Calibri"/>
          <w:b/>
          <w:bCs/>
          <w:color w:val="000000"/>
          <w:sz w:val="28"/>
          <w:szCs w:val="28"/>
        </w:rPr>
        <w:t xml:space="preserve"> </w:t>
      </w:r>
    </w:p>
    <w:p w:rsidR="000F54BC" w:rsidRDefault="000F54BC" w:rsidP="000F54BC">
      <w:pPr>
        <w:pStyle w:val="Nadpis3"/>
        <w:numPr>
          <w:ilvl w:val="0"/>
          <w:numId w:val="0"/>
        </w:numPr>
        <w:ind w:left="851" w:right="567" w:hanging="851"/>
        <w:rPr>
          <w:rFonts w:cs="Arial"/>
        </w:rPr>
      </w:pPr>
      <w:bookmarkStart w:id="1" w:name="_Toc505673817"/>
      <w:r w:rsidRPr="00B744BA">
        <w:rPr>
          <w:rFonts w:cs="Arial"/>
        </w:rPr>
        <w:t>Specifikace předmětu projektu</w:t>
      </w:r>
      <w:bookmarkEnd w:id="1"/>
    </w:p>
    <w:p w:rsidR="00DB4446" w:rsidRDefault="003933A2" w:rsidP="003933A2">
      <w:r>
        <w:t>Záměrem jsou stavební úpravy přestavující instalaci střešního fotovoltaického systému (FVE) na střechu</w:t>
      </w:r>
      <w:r>
        <w:t xml:space="preserve"> </w:t>
      </w:r>
      <w:r>
        <w:t xml:space="preserve">stávajících objektů společnosti ČEZ </w:t>
      </w:r>
      <w:r>
        <w:t>a.s.</w:t>
      </w:r>
      <w:r>
        <w:t xml:space="preserve"> na p.p.č. 1875/2, 1875/4 v k.ú. Benešov u Prahy</w:t>
      </w:r>
      <w:r>
        <w:t xml:space="preserve"> </w:t>
      </w:r>
      <w:r>
        <w:t>[602191]. Střešní konstrukce objektu je plochá, povrch střešního pláště je z asfaltového pásu. Vlastní instalace</w:t>
      </w:r>
      <w:r>
        <w:t xml:space="preserve"> </w:t>
      </w:r>
      <w:r>
        <w:t>FVE o velikosti 64,26 kWp se bude skládat z 238ks fotovoltaických panelů, každý o jmenovitém výkonu 270Wp,</w:t>
      </w:r>
      <w:r>
        <w:t xml:space="preserve"> </w:t>
      </w:r>
      <w:r>
        <w:t>z typové pomocné konstrukce a ze střídače, který bude umístěn na konstrukci na fasádě objektu. Panely budou</w:t>
      </w:r>
      <w:r>
        <w:t xml:space="preserve"> </w:t>
      </w:r>
      <w:r>
        <w:t>umístěny na lehké zátěžové konstrukci pod sklonem 15°. Výše uvedené stavební úpravy nevyžadují zásah do</w:t>
      </w:r>
      <w:r>
        <w:t xml:space="preserve"> </w:t>
      </w:r>
      <w:r>
        <w:t>stávajících nosných konstrukcí a nemění vzhled budovy.</w:t>
      </w:r>
    </w:p>
    <w:tbl>
      <w:tblPr>
        <w:tblW w:w="9404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4"/>
        <w:gridCol w:w="1338"/>
        <w:gridCol w:w="2351"/>
        <w:gridCol w:w="2351"/>
      </w:tblGrid>
      <w:tr w:rsidR="001B0C6E" w:rsidRPr="001B0C6E" w:rsidTr="00B60DA5">
        <w:trPr>
          <w:trHeight w:val="244"/>
        </w:trPr>
        <w:tc>
          <w:tcPr>
            <w:tcW w:w="4702" w:type="dxa"/>
            <w:gridSpan w:val="2"/>
          </w:tcPr>
          <w:p w:rsid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1" w:type="dxa"/>
            <w:vMerge w:val="restart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Datum cílové hodnoty</w:t>
            </w:r>
          </w:p>
        </w:tc>
        <w:tc>
          <w:tcPr>
            <w:tcW w:w="2351" w:type="dxa"/>
            <w:vMerge w:val="restart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Cílová hodnota</w:t>
            </w:r>
          </w:p>
        </w:tc>
      </w:tr>
      <w:tr w:rsidR="001B0C6E" w:rsidRPr="001B0C6E" w:rsidTr="001B0C6E">
        <w:trPr>
          <w:trHeight w:val="244"/>
        </w:trPr>
        <w:tc>
          <w:tcPr>
            <w:tcW w:w="3364" w:type="dxa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338" w:type="dxa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Jednotky</w:t>
            </w:r>
          </w:p>
        </w:tc>
        <w:tc>
          <w:tcPr>
            <w:tcW w:w="2351" w:type="dxa"/>
            <w:vMerge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351" w:type="dxa"/>
            <w:vMerge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</w:tr>
      <w:tr w:rsidR="001B0C6E" w:rsidRPr="001B0C6E" w:rsidTr="001B0C6E">
        <w:trPr>
          <w:trHeight w:val="244"/>
        </w:trPr>
        <w:tc>
          <w:tcPr>
            <w:tcW w:w="3364" w:type="dxa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bookmarkStart w:id="2" w:name="_Toc505673819"/>
            <w:r w:rsidRPr="001B0C6E">
              <w:rPr>
                <w:rFonts w:ascii="Calibri" w:hAnsi="Calibri" w:cs="Calibri"/>
                <w:color w:val="000000"/>
              </w:rPr>
              <w:t xml:space="preserve">32300 Snížení konečné spotřeby energie u podpořených subjektů </w:t>
            </w:r>
          </w:p>
        </w:tc>
        <w:tc>
          <w:tcPr>
            <w:tcW w:w="1338" w:type="dxa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B0C6E">
              <w:rPr>
                <w:rFonts w:ascii="Calibri" w:hAnsi="Calibri" w:cs="Calibri"/>
                <w:color w:val="000000"/>
              </w:rPr>
              <w:t xml:space="preserve">GJ/rok </w:t>
            </w:r>
          </w:p>
        </w:tc>
        <w:tc>
          <w:tcPr>
            <w:tcW w:w="2351" w:type="dxa"/>
          </w:tcPr>
          <w:p w:rsidR="001B0C6E" w:rsidRPr="001B0C6E" w:rsidRDefault="001B0C6E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1B0C6E">
              <w:rPr>
                <w:rFonts w:ascii="Calibri" w:hAnsi="Calibri" w:cs="Calibri"/>
                <w:color w:val="000000"/>
              </w:rPr>
              <w:t xml:space="preserve">16. 10. 2025 </w:t>
            </w:r>
          </w:p>
        </w:tc>
        <w:tc>
          <w:tcPr>
            <w:tcW w:w="2351" w:type="dxa"/>
          </w:tcPr>
          <w:p w:rsidR="001B0C6E" w:rsidRPr="001B0C6E" w:rsidRDefault="003933A2" w:rsidP="001B0C6E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212</w:t>
            </w:r>
            <w:r w:rsidR="001B0C6E" w:rsidRPr="001B0C6E">
              <w:rPr>
                <w:rFonts w:ascii="Calibri" w:hAnsi="Calibri" w:cs="Calibri"/>
                <w:color w:val="000000"/>
              </w:rPr>
              <w:t xml:space="preserve">,00 </w:t>
            </w:r>
          </w:p>
        </w:tc>
      </w:tr>
    </w:tbl>
    <w:p w:rsidR="000F54BC" w:rsidRPr="00A47E59" w:rsidRDefault="000F54BC" w:rsidP="000F54BC">
      <w:pPr>
        <w:pStyle w:val="Nadpis2"/>
        <w:numPr>
          <w:ilvl w:val="0"/>
          <w:numId w:val="0"/>
        </w:numPr>
      </w:pPr>
      <w:r w:rsidRPr="00A47E59">
        <w:t>Místo realizace</w:t>
      </w:r>
      <w:bookmarkEnd w:id="2"/>
    </w:p>
    <w:p w:rsidR="000F54BC" w:rsidRPr="00832090" w:rsidRDefault="000F54BC" w:rsidP="000F54BC">
      <w:r>
        <w:t xml:space="preserve">Budova, na níž se bude provádět revitalizace je umístěna na pozemku </w:t>
      </w:r>
      <w:r w:rsidR="003933A2">
        <w:t xml:space="preserve">p.č. 1875/2, 1875/4 v k.ú. Benešov u Prahy [602191]. </w:t>
      </w:r>
      <w:r w:rsidR="003933A2">
        <w:t xml:space="preserve"> </w:t>
      </w:r>
      <w:r>
        <w:t>V rámci společnosti ČEZ</w:t>
      </w:r>
      <w:r w:rsidR="001B0C6E">
        <w:t>, a.s</w:t>
      </w:r>
      <w:r>
        <w:t xml:space="preserve">. je budova interně označena jako administrativní </w:t>
      </w:r>
      <w:r w:rsidRPr="0096049F">
        <w:t>budova</w:t>
      </w:r>
      <w:r>
        <w:t xml:space="preserve"> (REM 10</w:t>
      </w:r>
      <w:r w:rsidR="00802E47">
        <w:t>0</w:t>
      </w:r>
      <w:r w:rsidR="003933A2">
        <w:t>068</w:t>
      </w:r>
      <w:r>
        <w:t>/20</w:t>
      </w:r>
      <w:r w:rsidR="003933A2">
        <w:t>0199 a REM 100068/200200</w:t>
      </w:r>
      <w:r>
        <w:t>).</w:t>
      </w:r>
    </w:p>
    <w:p w:rsidR="000F54BC" w:rsidRDefault="000F54BC" w:rsidP="000F54BC">
      <w:pPr>
        <w:pStyle w:val="Nadpis2"/>
        <w:numPr>
          <w:ilvl w:val="0"/>
          <w:numId w:val="0"/>
        </w:numPr>
        <w:ind w:left="357" w:right="567" w:hanging="357"/>
        <w:rPr>
          <w:rFonts w:cs="Arial"/>
        </w:rPr>
      </w:pPr>
      <w:bookmarkStart w:id="3" w:name="_Toc505673820"/>
      <w:r w:rsidRPr="00B744BA">
        <w:rPr>
          <w:rFonts w:cs="Arial"/>
        </w:rPr>
        <w:lastRenderedPageBreak/>
        <w:t>Popis cílů projektu</w:t>
      </w:r>
      <w:bookmarkEnd w:id="3"/>
    </w:p>
    <w:p w:rsidR="000F54BC" w:rsidRPr="00DB7ED7" w:rsidRDefault="000F54BC" w:rsidP="000F54BC">
      <w:r>
        <w:t xml:space="preserve">Hlavním cílem je </w:t>
      </w:r>
      <w:r w:rsidR="001B0C6E">
        <w:t>instalace systému FVE pro vlastní spotřebu.</w:t>
      </w:r>
      <w:r>
        <w:t xml:space="preserve"> </w:t>
      </w:r>
    </w:p>
    <w:p w:rsidR="000F54BC" w:rsidRDefault="000F54BC" w:rsidP="000F54BC">
      <w:pPr>
        <w:pStyle w:val="Nadpis2"/>
        <w:numPr>
          <w:ilvl w:val="0"/>
          <w:numId w:val="0"/>
        </w:numPr>
        <w:ind w:left="357" w:right="567" w:hanging="357"/>
        <w:rPr>
          <w:rFonts w:cs="Arial"/>
        </w:rPr>
      </w:pPr>
      <w:r>
        <w:rPr>
          <w:rFonts w:cs="Arial"/>
        </w:rPr>
        <w:t>Dopad na životní prostředí</w:t>
      </w:r>
    </w:p>
    <w:p w:rsidR="000F54BC" w:rsidRDefault="000F54BC" w:rsidP="000F54BC">
      <w:pPr>
        <w:spacing w:after="0"/>
      </w:pPr>
      <w:r>
        <w:t>V průběhu stavby je nutno počítat s přechodnou zvýšenou hlukovou zátěží a s odpady vznikajícími při realizaci stavby. Po dokončení nebude mít stavba negativní dopad na životní prostředí.</w:t>
      </w:r>
    </w:p>
    <w:p w:rsidR="000F54BC" w:rsidRPr="00B744BA" w:rsidRDefault="000F54BC" w:rsidP="000F54BC">
      <w:pPr>
        <w:pStyle w:val="Nadpis2"/>
        <w:numPr>
          <w:ilvl w:val="0"/>
          <w:numId w:val="0"/>
        </w:numPr>
        <w:ind w:left="357" w:right="567" w:hanging="357"/>
        <w:rPr>
          <w:rFonts w:cs="Arial"/>
        </w:rPr>
      </w:pPr>
      <w:bookmarkStart w:id="4" w:name="_Toc505673822"/>
      <w:r w:rsidRPr="00B744BA">
        <w:rPr>
          <w:rFonts w:cs="Arial"/>
        </w:rPr>
        <w:t>Fotografická dokumentace</w:t>
      </w:r>
      <w:bookmarkEnd w:id="4"/>
    </w:p>
    <w:p w:rsidR="000F54BC" w:rsidRDefault="000F54BC" w:rsidP="000F54BC">
      <w:pPr>
        <w:ind w:right="567"/>
        <w:rPr>
          <w:rFonts w:cs="Arial"/>
        </w:rPr>
      </w:pPr>
      <w:r w:rsidRPr="00B744BA">
        <w:rPr>
          <w:rFonts w:cs="Arial"/>
        </w:rPr>
        <w:t>Fotografická dokumentace</w:t>
      </w:r>
      <w:r>
        <w:rPr>
          <w:rFonts w:cs="Arial"/>
        </w:rPr>
        <w:t>:</w:t>
      </w:r>
    </w:p>
    <w:p w:rsidR="000F54BC" w:rsidRDefault="000F54BC" w:rsidP="000F54BC">
      <w:pPr>
        <w:ind w:right="567"/>
        <w:rPr>
          <w:rFonts w:cs="Arial"/>
        </w:rPr>
      </w:pPr>
      <w:r>
        <w:rPr>
          <w:rFonts w:cs="Arial"/>
        </w:rPr>
        <w:t xml:space="preserve">Obr. č. 1 - celkový pohled – budova ul. </w:t>
      </w:r>
      <w:r w:rsidR="003933A2">
        <w:rPr>
          <w:rFonts w:cs="Arial"/>
        </w:rPr>
        <w:t>U Elektrárny 2129</w:t>
      </w:r>
      <w:r w:rsidR="00802E47">
        <w:rPr>
          <w:rFonts w:cs="Arial"/>
        </w:rPr>
        <w:t xml:space="preserve">, </w:t>
      </w:r>
      <w:r w:rsidR="003933A2">
        <w:rPr>
          <w:rFonts w:cs="Arial"/>
        </w:rPr>
        <w:t>Benešov</w:t>
      </w:r>
      <w:r w:rsidR="001B0C6E">
        <w:rPr>
          <w:rFonts w:cs="Arial"/>
        </w:rPr>
        <w:t>:</w:t>
      </w:r>
    </w:p>
    <w:p w:rsidR="00802E47" w:rsidRDefault="00802E47" w:rsidP="000F54BC">
      <w:pPr>
        <w:ind w:right="567"/>
        <w:rPr>
          <w:rFonts w:cs="Arial"/>
        </w:rPr>
      </w:pPr>
      <w:r>
        <w:rPr>
          <w:rFonts w:cs="Arial"/>
        </w:rPr>
        <w:t xml:space="preserve"> </w:t>
      </w:r>
      <w:r w:rsidR="008A409D">
        <w:rPr>
          <w:noProof/>
        </w:rPr>
        <w:drawing>
          <wp:inline distT="0" distB="0" distL="0" distR="0" wp14:anchorId="500D6D1B" wp14:editId="2E1F81DF">
            <wp:extent cx="3840141" cy="2880000"/>
            <wp:effectExtent l="0" t="0" r="825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141" cy="28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4BC" w:rsidRDefault="008A409D" w:rsidP="008A409D">
      <w:pPr>
        <w:ind w:right="567"/>
        <w:rPr>
          <w:rFonts w:cs="Arial"/>
        </w:rPr>
      </w:pPr>
      <w:r>
        <w:rPr>
          <w:rFonts w:cs="Arial"/>
          <w:noProof/>
        </w:rPr>
        <w:drawing>
          <wp:inline distT="0" distB="0" distL="0" distR="0">
            <wp:extent cx="2699181" cy="3600000"/>
            <wp:effectExtent l="0" t="0" r="635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181" cy="36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5" w:name="_GoBack"/>
      <w:bookmarkEnd w:id="5"/>
    </w:p>
    <w:p w:rsidR="000F54BC" w:rsidRPr="00AB0B73" w:rsidRDefault="000F54BC" w:rsidP="00AB0B73">
      <w:pPr>
        <w:jc w:val="both"/>
      </w:pPr>
    </w:p>
    <w:sectPr w:rsidR="000F54BC" w:rsidRPr="00AB0B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4401" w:rsidRDefault="00E24401" w:rsidP="000F54BC">
      <w:pPr>
        <w:spacing w:after="0" w:line="240" w:lineRule="auto"/>
      </w:pPr>
      <w:r>
        <w:separator/>
      </w:r>
    </w:p>
  </w:endnote>
  <w:endnote w:type="continuationSeparator" w:id="0">
    <w:p w:rsidR="00E24401" w:rsidRDefault="00E24401" w:rsidP="000F54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4401" w:rsidRDefault="00E24401" w:rsidP="000F54BC">
      <w:pPr>
        <w:spacing w:after="0" w:line="240" w:lineRule="auto"/>
      </w:pPr>
      <w:r>
        <w:separator/>
      </w:r>
    </w:p>
  </w:footnote>
  <w:footnote w:type="continuationSeparator" w:id="0">
    <w:p w:rsidR="00E24401" w:rsidRDefault="00E24401" w:rsidP="000F54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6761D"/>
    <w:multiLevelType w:val="multilevel"/>
    <w:tmpl w:val="909E64BC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1135"/>
        </w:tabs>
        <w:ind w:left="1135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12A79C5"/>
    <w:multiLevelType w:val="hybridMultilevel"/>
    <w:tmpl w:val="A52E72F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2"/>
    </w:lvlOverride>
    <w:lvlOverride w:ilvl="1">
      <w:startOverride w:val="2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B73"/>
    <w:rsid w:val="00042356"/>
    <w:rsid w:val="000F54BC"/>
    <w:rsid w:val="00156BC7"/>
    <w:rsid w:val="001B0C6E"/>
    <w:rsid w:val="001E503D"/>
    <w:rsid w:val="003933A2"/>
    <w:rsid w:val="005609BB"/>
    <w:rsid w:val="00591B1A"/>
    <w:rsid w:val="00802E47"/>
    <w:rsid w:val="008A409D"/>
    <w:rsid w:val="0094635B"/>
    <w:rsid w:val="00AA4CF0"/>
    <w:rsid w:val="00AB0B73"/>
    <w:rsid w:val="00D67861"/>
    <w:rsid w:val="00DB4446"/>
    <w:rsid w:val="00E24401"/>
    <w:rsid w:val="00FC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DB0137F"/>
  <w15:chartTrackingRefBased/>
  <w15:docId w15:val="{8F3EEB10-9F6A-47C7-AD6B-879417EB8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F54BC"/>
    <w:pPr>
      <w:keepNext/>
      <w:keepLines/>
      <w:numPr>
        <w:numId w:val="1"/>
      </w:numPr>
      <w:spacing w:before="480" w:after="0" w:line="276" w:lineRule="auto"/>
      <w:ind w:left="357" w:hanging="357"/>
      <w:jc w:val="both"/>
      <w:outlineLvl w:val="0"/>
    </w:pPr>
    <w:rPr>
      <w:rFonts w:ascii="Arial" w:eastAsiaTheme="majorEastAsia" w:hAnsi="Arial" w:cstheme="majorBidi"/>
      <w:b/>
      <w:bCs/>
      <w:caps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F54BC"/>
    <w:pPr>
      <w:keepNext/>
      <w:keepLines/>
      <w:numPr>
        <w:ilvl w:val="1"/>
        <w:numId w:val="1"/>
      </w:numPr>
      <w:spacing w:before="200" w:after="0" w:line="276" w:lineRule="auto"/>
      <w:ind w:left="357" w:hanging="357"/>
      <w:jc w:val="both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0F54BC"/>
    <w:pPr>
      <w:keepNext/>
      <w:keepLines/>
      <w:numPr>
        <w:ilvl w:val="2"/>
        <w:numId w:val="1"/>
      </w:numPr>
      <w:spacing w:before="200" w:after="0" w:line="276" w:lineRule="auto"/>
      <w:jc w:val="both"/>
      <w:outlineLvl w:val="2"/>
    </w:pPr>
    <w:rPr>
      <w:rFonts w:ascii="Arial" w:eastAsiaTheme="majorEastAsia" w:hAnsi="Arial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F54BC"/>
    <w:pPr>
      <w:keepNext/>
      <w:keepLines/>
      <w:numPr>
        <w:ilvl w:val="3"/>
        <w:numId w:val="1"/>
      </w:numPr>
      <w:spacing w:before="200" w:after="0" w:line="276" w:lineRule="auto"/>
      <w:jc w:val="both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F54BC"/>
    <w:pPr>
      <w:keepNext/>
      <w:keepLines/>
      <w:numPr>
        <w:ilvl w:val="4"/>
        <w:numId w:val="1"/>
      </w:numPr>
      <w:spacing w:before="200" w:after="0" w:line="276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F54BC"/>
    <w:pPr>
      <w:keepNext/>
      <w:keepLines/>
      <w:numPr>
        <w:ilvl w:val="5"/>
        <w:numId w:val="1"/>
      </w:numPr>
      <w:spacing w:before="200" w:after="0" w:line="276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F54BC"/>
    <w:pPr>
      <w:keepNext/>
      <w:keepLines/>
      <w:numPr>
        <w:ilvl w:val="6"/>
        <w:numId w:val="1"/>
      </w:numPr>
      <w:spacing w:before="200" w:after="0" w:line="276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F54BC"/>
    <w:pPr>
      <w:keepNext/>
      <w:keepLines/>
      <w:numPr>
        <w:ilvl w:val="7"/>
        <w:numId w:val="1"/>
      </w:numPr>
      <w:spacing w:before="200" w:after="0" w:line="276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F54BC"/>
    <w:pPr>
      <w:keepNext/>
      <w:keepLines/>
      <w:numPr>
        <w:ilvl w:val="8"/>
        <w:numId w:val="1"/>
      </w:numPr>
      <w:spacing w:before="200" w:after="0" w:line="276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0B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F54BC"/>
    <w:rPr>
      <w:rFonts w:ascii="Arial" w:eastAsiaTheme="majorEastAsia" w:hAnsi="Arial" w:cstheme="majorBidi"/>
      <w:b/>
      <w:bCs/>
      <w:caps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0F54BC"/>
    <w:rPr>
      <w:rFonts w:ascii="Arial" w:eastAsiaTheme="majorEastAsia" w:hAnsi="Arial" w:cstheme="majorBidi"/>
      <w:b/>
      <w:bCs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0F54BC"/>
    <w:rPr>
      <w:rFonts w:ascii="Arial" w:eastAsiaTheme="majorEastAsia" w:hAnsi="Arial" w:cstheme="majorBidi"/>
      <w:b/>
      <w:b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F54BC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F54B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F54B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F54B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F54B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F54B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0F54BC"/>
    <w:pPr>
      <w:spacing w:before="120" w:after="200" w:line="276" w:lineRule="auto"/>
      <w:ind w:left="720"/>
      <w:contextualSpacing/>
      <w:jc w:val="both"/>
    </w:pPr>
    <w:rPr>
      <w:rFonts w:ascii="Arial" w:hAnsi="Arial"/>
    </w:rPr>
  </w:style>
  <w:style w:type="table" w:styleId="Mkatabulky">
    <w:name w:val="Table Grid"/>
    <w:aliases w:val="Tabulka seznamování"/>
    <w:basedOn w:val="Normlntabulka"/>
    <w:rsid w:val="000F54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link w:val="TextChar"/>
    <w:rsid w:val="000F54BC"/>
    <w:pPr>
      <w:spacing w:after="0" w:line="240" w:lineRule="auto"/>
      <w:ind w:firstLine="454"/>
      <w:jc w:val="both"/>
    </w:pPr>
    <w:rPr>
      <w:rFonts w:ascii="Arial" w:eastAsia="Times New Roman" w:hAnsi="Arial" w:cs="Times New Roman"/>
      <w:szCs w:val="24"/>
      <w:lang w:eastAsia="cs-CZ"/>
    </w:rPr>
  </w:style>
  <w:style w:type="character" w:customStyle="1" w:styleId="TextChar">
    <w:name w:val="Text Char"/>
    <w:link w:val="Text"/>
    <w:locked/>
    <w:rsid w:val="000F54BC"/>
    <w:rPr>
      <w:rFonts w:ascii="Arial" w:eastAsia="Times New Roman" w:hAnsi="Arial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</TotalTime>
  <Pages>2</Pages>
  <Words>419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Fajkus Martin</dc:creator>
  <cp:keywords/>
  <dc:description/>
  <cp:lastModifiedBy>Hovorková Kamila</cp:lastModifiedBy>
  <cp:revision>11</cp:revision>
  <dcterms:created xsi:type="dcterms:W3CDTF">2021-02-10T12:03:00Z</dcterms:created>
  <dcterms:modified xsi:type="dcterms:W3CDTF">2021-05-11T04:54:00Z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48d3945-75f2-4356-9d46-a8fc77fa5e88_Enabled">
    <vt:lpwstr>true</vt:lpwstr>
  </property>
  <property fmtid="{D5CDD505-2E9C-101B-9397-08002B2CF9AE}" pid="3" name="MSIP_Label_b48d3945-75f2-4356-9d46-a8fc77fa5e88_SetDate">
    <vt:lpwstr>2021-02-10T12:16:33Z</vt:lpwstr>
  </property>
  <property fmtid="{D5CDD505-2E9C-101B-9397-08002B2CF9AE}" pid="4" name="MSIP_Label_b48d3945-75f2-4356-9d46-a8fc77fa5e88_Method">
    <vt:lpwstr>Privileged</vt:lpwstr>
  </property>
  <property fmtid="{D5CDD505-2E9C-101B-9397-08002B2CF9AE}" pid="5" name="MSIP_Label_b48d3945-75f2-4356-9d46-a8fc77fa5e88_Name">
    <vt:lpwstr>L00094</vt:lpwstr>
  </property>
  <property fmtid="{D5CDD505-2E9C-101B-9397-08002B2CF9AE}" pid="6" name="MSIP_Label_b48d3945-75f2-4356-9d46-a8fc77fa5e88_SiteId">
    <vt:lpwstr>b233f9e1-5599-4693-9cef-38858fe25406</vt:lpwstr>
  </property>
  <property fmtid="{D5CDD505-2E9C-101B-9397-08002B2CF9AE}" pid="7" name="MSIP_Label_b48d3945-75f2-4356-9d46-a8fc77fa5e88_ActionId">
    <vt:lpwstr>344ea101-09fe-4ac1-b14b-a530b18046a4</vt:lpwstr>
  </property>
  <property fmtid="{D5CDD505-2E9C-101B-9397-08002B2CF9AE}" pid="8" name="MSIP_Label_b48d3945-75f2-4356-9d46-a8fc77fa5e88_ContentBits">
    <vt:lpwstr>0</vt:lpwstr>
  </property>
  <property fmtid="{D5CDD505-2E9C-101B-9397-08002B2CF9AE}" pid="9" name="DocumentClasification">
    <vt:lpwstr>Veřejné</vt:lpwstr>
  </property>
  <property fmtid="{D5CDD505-2E9C-101B-9397-08002B2CF9AE}" pid="10" name="CEZ_DLP">
    <vt:lpwstr>CEZ:CEZ-DS:D</vt:lpwstr>
  </property>
  <property fmtid="{D5CDD505-2E9C-101B-9397-08002B2CF9AE}" pid="11" name="CEZ_MIPLabelName">
    <vt:lpwstr>Public-CEZ-DS</vt:lpwstr>
  </property>
</Properties>
</file>