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982F" w14:textId="75069AFD" w:rsidR="00EF785F" w:rsidRPr="00E07615" w:rsidRDefault="00AF478F" w:rsidP="00EF785F">
      <w:pPr>
        <w:jc w:val="center"/>
        <w:rPr>
          <w:rFonts w:ascii="Roobert CEZ" w:hAnsi="Roobert CEZ" w:cs="Tahoma"/>
          <w:b/>
        </w:rPr>
      </w:pPr>
      <w:r w:rsidRPr="00E07615">
        <w:rPr>
          <w:rFonts w:ascii="Roobert CEZ" w:hAnsi="Roobert CEZ"/>
          <w:noProof/>
        </w:rPr>
        <w:drawing>
          <wp:anchor distT="0" distB="0" distL="114300" distR="114300" simplePos="0" relativeHeight="251660288" behindDoc="1" locked="0" layoutInCell="1" allowOverlap="1" wp14:anchorId="7D5BEBE4" wp14:editId="03183D9B">
            <wp:simplePos x="0" y="0"/>
            <wp:positionH relativeFrom="margin">
              <wp:align>left</wp:align>
            </wp:positionH>
            <wp:positionV relativeFrom="margin">
              <wp:posOffset>-209550</wp:posOffset>
            </wp:positionV>
            <wp:extent cx="2286000" cy="684530"/>
            <wp:effectExtent l="0" t="0" r="0" b="1270"/>
            <wp:wrapTight wrapText="bothSides">
              <wp:wrapPolygon edited="0">
                <wp:start x="0" y="0"/>
                <wp:lineTo x="0" y="21039"/>
                <wp:lineTo x="21420" y="21039"/>
                <wp:lineTo x="2142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D2CAE" w14:textId="77777777" w:rsidR="00EF785F" w:rsidRPr="00E07615" w:rsidRDefault="00EF785F" w:rsidP="00EF785F">
      <w:pPr>
        <w:jc w:val="center"/>
        <w:rPr>
          <w:rFonts w:ascii="Roobert CEZ" w:hAnsi="Roobert CEZ" w:cs="Tahoma"/>
          <w:b/>
        </w:rPr>
      </w:pPr>
    </w:p>
    <w:p w14:paraId="01BFED22" w14:textId="77777777" w:rsidR="00EF785F" w:rsidRPr="00E07615" w:rsidRDefault="00EF785F" w:rsidP="00EF785F">
      <w:pPr>
        <w:jc w:val="center"/>
        <w:rPr>
          <w:rFonts w:ascii="Roobert CEZ" w:hAnsi="Roobert CEZ" w:cs="Tahoma"/>
          <w:b/>
        </w:rPr>
      </w:pPr>
    </w:p>
    <w:p w14:paraId="672D43E0" w14:textId="77777777" w:rsidR="00AF478F" w:rsidRPr="00E07615" w:rsidRDefault="00AF478F" w:rsidP="00EF785F">
      <w:pPr>
        <w:jc w:val="center"/>
        <w:rPr>
          <w:rFonts w:ascii="Roobert CEZ" w:hAnsi="Roobert CEZ" w:cs="Tahoma"/>
          <w:b/>
        </w:rPr>
      </w:pPr>
    </w:p>
    <w:p w14:paraId="27F7F6C5" w14:textId="694069F1" w:rsidR="00EF785F" w:rsidRPr="00E07615" w:rsidRDefault="00982BA4" w:rsidP="00EF785F">
      <w:pPr>
        <w:jc w:val="center"/>
        <w:rPr>
          <w:rFonts w:ascii="Roobert CEZ" w:hAnsi="Roobert CEZ" w:cs="Tahoma"/>
          <w:b/>
        </w:rPr>
      </w:pPr>
      <w:r w:rsidRPr="00E07615">
        <w:rPr>
          <w:rFonts w:ascii="Roobert CEZ" w:hAnsi="Roobert CEZ" w:cs="Tahoma"/>
          <w:b/>
        </w:rPr>
        <w:t>Závazný rozsah a obsah projektové dokumentace</w:t>
      </w:r>
    </w:p>
    <w:p w14:paraId="7EF85DD4" w14:textId="77777777" w:rsidR="00982BA4" w:rsidRPr="00E07615" w:rsidRDefault="00982BA4" w:rsidP="00982BA4">
      <w:pPr>
        <w:jc w:val="both"/>
        <w:rPr>
          <w:rFonts w:ascii="Roobert CEZ" w:hAnsi="Roobert CEZ" w:cs="Tahoma"/>
          <w:bCs/>
        </w:rPr>
      </w:pPr>
    </w:p>
    <w:p w14:paraId="3FEBF053" w14:textId="377FBB64" w:rsidR="00EF785F" w:rsidRPr="00E07615" w:rsidRDefault="00982BA4" w:rsidP="00982BA4">
      <w:pPr>
        <w:jc w:val="both"/>
        <w:rPr>
          <w:rFonts w:ascii="Roobert CEZ" w:hAnsi="Roobert CEZ" w:cs="Tahoma"/>
          <w:bCs/>
        </w:rPr>
      </w:pPr>
      <w:r w:rsidRPr="00E07615">
        <w:rPr>
          <w:rFonts w:ascii="Roobert CEZ" w:hAnsi="Roobert CEZ" w:cs="Tahoma"/>
          <w:bCs/>
        </w:rPr>
        <w:t>Struktura a rozsah PD je dán vyhláškou MMR č.499/2006 Sb., projektová dokumentace vyjma podkladů daných vyhláškou MMR č.499/2006 Sb. musí dále obsahovat minimálně níže uvedené dokumenty.</w:t>
      </w:r>
    </w:p>
    <w:p w14:paraId="7AF352F4" w14:textId="2C3F5106" w:rsidR="00982BA4" w:rsidRPr="00E07615" w:rsidRDefault="00982BA4">
      <w:pPr>
        <w:rPr>
          <w:rFonts w:ascii="Roobert CEZ" w:hAnsi="Roobert CEZ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4"/>
      </w:tblGrid>
      <w:tr w:rsidR="00982BA4" w:rsidRPr="00E07615" w14:paraId="32C7BAC5" w14:textId="77777777" w:rsidTr="00982BA4">
        <w:trPr>
          <w:trHeight w:val="245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25F1D" w14:textId="249DC388" w:rsidR="00982BA4" w:rsidRPr="00E07615" w:rsidRDefault="00982BA4" w:rsidP="0039080A">
            <w:pPr>
              <w:ind w:left="132" w:hanging="132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Plán organizace výstavby</w:t>
            </w:r>
          </w:p>
        </w:tc>
      </w:tr>
      <w:tr w:rsidR="00982BA4" w:rsidRPr="00E07615" w14:paraId="5BF79D60" w14:textId="77777777" w:rsidTr="00982BA4">
        <w:trPr>
          <w:trHeight w:val="245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4EC3D" w14:textId="77777777" w:rsidR="00982BA4" w:rsidRPr="00E07615" w:rsidRDefault="00982BA4" w:rsidP="0039080A">
            <w:pPr>
              <w:pBdr>
                <w:bottom w:val="single" w:sz="4" w:space="1" w:color="auto"/>
              </w:pBdr>
              <w:ind w:left="132" w:hanging="132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Zpracování požárně bezpečnostního řešení stavby</w:t>
            </w:r>
          </w:p>
        </w:tc>
      </w:tr>
      <w:tr w:rsidR="00982BA4" w:rsidRPr="00E07615" w14:paraId="0D743026" w14:textId="77777777" w:rsidTr="00982BA4">
        <w:trPr>
          <w:trHeight w:val="245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5D5513" w14:textId="77777777" w:rsidR="00982BA4" w:rsidRPr="00E07615" w:rsidRDefault="00982BA4" w:rsidP="0039080A">
            <w:pPr>
              <w:pBdr>
                <w:bottom w:val="single" w:sz="4" w:space="1" w:color="auto"/>
              </w:pBdr>
              <w:ind w:left="132" w:hanging="132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SoBS s dotčenými vlastníky</w:t>
            </w:r>
          </w:p>
          <w:p w14:paraId="289594A4" w14:textId="77777777" w:rsidR="00982BA4" w:rsidRPr="00E07615" w:rsidRDefault="00982BA4" w:rsidP="0039080A">
            <w:pPr>
              <w:ind w:left="132" w:hanging="132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Vyjádření k PD příslušnými útvary ČEZ</w:t>
            </w:r>
          </w:p>
        </w:tc>
      </w:tr>
      <w:tr w:rsidR="00982BA4" w:rsidRPr="00E07615" w14:paraId="51B350BE" w14:textId="77777777" w:rsidTr="00982BA4">
        <w:trPr>
          <w:trHeight w:val="245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7C9BE" w14:textId="77777777" w:rsidR="00982BA4" w:rsidRPr="00E07615" w:rsidRDefault="00982BA4" w:rsidP="0039080A">
            <w:pPr>
              <w:ind w:left="132" w:hanging="132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Rozhodnutí o umístění stavby, popř. územní souhlas</w:t>
            </w:r>
          </w:p>
        </w:tc>
      </w:tr>
      <w:tr w:rsidR="00982BA4" w:rsidRPr="00E07615" w14:paraId="564466C8" w14:textId="77777777" w:rsidTr="00982BA4">
        <w:trPr>
          <w:trHeight w:val="245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D773E" w14:textId="77777777" w:rsidR="00982BA4" w:rsidRPr="00E07615" w:rsidRDefault="00982BA4" w:rsidP="0039080A">
            <w:pPr>
              <w:ind w:left="132" w:hanging="132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Plán BOZP</w:t>
            </w:r>
          </w:p>
        </w:tc>
      </w:tr>
      <w:tr w:rsidR="00982BA4" w:rsidRPr="00E07615" w14:paraId="28890912" w14:textId="77777777" w:rsidTr="00982BA4">
        <w:trPr>
          <w:trHeight w:val="245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7D7A8" w14:textId="77777777" w:rsidR="00982BA4" w:rsidRPr="00E07615" w:rsidRDefault="00982BA4" w:rsidP="0039080A">
            <w:pPr>
              <w:ind w:left="132" w:hanging="132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Doklad o ohlášení stavby příslušnému Archeologickému ústavu</w:t>
            </w:r>
          </w:p>
        </w:tc>
      </w:tr>
      <w:tr w:rsidR="00982BA4" w:rsidRPr="00E07615" w14:paraId="72D7DE27" w14:textId="77777777" w:rsidTr="00982BA4">
        <w:trPr>
          <w:trHeight w:val="245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2DC47E" w14:textId="77777777" w:rsidR="00982BA4" w:rsidRPr="00E07615" w:rsidRDefault="00982BA4" w:rsidP="0039080A">
            <w:pPr>
              <w:ind w:left="132" w:hanging="132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Výpisy z Katastru nemovitostí  </w:t>
            </w:r>
          </w:p>
        </w:tc>
      </w:tr>
      <w:tr w:rsidR="00982BA4" w:rsidRPr="00E07615" w14:paraId="665337B1" w14:textId="77777777" w:rsidTr="00982BA4">
        <w:trPr>
          <w:trHeight w:val="245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7269D7" w14:textId="77777777" w:rsidR="00982BA4" w:rsidRPr="00E07615" w:rsidRDefault="00982BA4" w:rsidP="0039080A">
            <w:pPr>
              <w:ind w:left="132" w:hanging="132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Impedance smyčky</w:t>
            </w:r>
          </w:p>
        </w:tc>
      </w:tr>
      <w:tr w:rsidR="00982BA4" w:rsidRPr="00E07615" w14:paraId="24097DCA" w14:textId="77777777" w:rsidTr="00982BA4">
        <w:trPr>
          <w:trHeight w:val="245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8C724B" w14:textId="77777777" w:rsidR="00982BA4" w:rsidRPr="00E07615" w:rsidRDefault="00982BA4" w:rsidP="0039080A">
            <w:pPr>
              <w:ind w:left="132" w:hanging="132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Vrcholové namáhání PB</w:t>
            </w:r>
          </w:p>
        </w:tc>
      </w:tr>
      <w:tr w:rsidR="00982BA4" w:rsidRPr="00E07615" w14:paraId="6EE7F1F5" w14:textId="77777777" w:rsidTr="00982BA4">
        <w:trPr>
          <w:trHeight w:val="245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B805B" w14:textId="77777777" w:rsidR="00982BA4" w:rsidRPr="00E07615" w:rsidRDefault="00982BA4" w:rsidP="0039080A">
            <w:pPr>
              <w:ind w:left="132" w:hanging="132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Návrh uzemnění na základě změřeného měrného odporu půdy</w:t>
            </w:r>
          </w:p>
        </w:tc>
      </w:tr>
      <w:tr w:rsidR="00982BA4" w:rsidRPr="00E07615" w14:paraId="7921876B" w14:textId="77777777" w:rsidTr="00982BA4">
        <w:trPr>
          <w:trHeight w:val="245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3A281B" w14:textId="77777777" w:rsidR="00982BA4" w:rsidRPr="00E07615" w:rsidRDefault="00982BA4" w:rsidP="0039080A">
            <w:pPr>
              <w:ind w:left="132" w:hanging="132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Výpočet vlivu na jiná zařízení</w:t>
            </w:r>
          </w:p>
        </w:tc>
      </w:tr>
      <w:tr w:rsidR="00982BA4" w:rsidRPr="00E07615" w14:paraId="5A7F7CBF" w14:textId="77777777" w:rsidTr="00982BA4">
        <w:trPr>
          <w:trHeight w:val="245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551E7E" w14:textId="77777777" w:rsidR="00982BA4" w:rsidRPr="00E07615" w:rsidRDefault="00982BA4" w:rsidP="0039080A">
            <w:pPr>
              <w:ind w:left="132" w:hanging="132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Přehledové schéma sítě (jednopólové) a plán jištění</w:t>
            </w:r>
          </w:p>
        </w:tc>
      </w:tr>
      <w:tr w:rsidR="00982BA4" w:rsidRPr="00E07615" w14:paraId="542AD7F0" w14:textId="77777777" w:rsidTr="00982BA4">
        <w:trPr>
          <w:trHeight w:val="245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19555" w14:textId="77777777" w:rsidR="00982BA4" w:rsidRPr="00E07615" w:rsidRDefault="00982BA4" w:rsidP="0039080A">
            <w:pPr>
              <w:ind w:left="132" w:hanging="132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Situační plán demontáže stávajícího zařízení</w:t>
            </w:r>
          </w:p>
        </w:tc>
      </w:tr>
      <w:tr w:rsidR="00982BA4" w:rsidRPr="00E07615" w14:paraId="598F8154" w14:textId="77777777" w:rsidTr="00982BA4">
        <w:trPr>
          <w:trHeight w:val="245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AAE7E9" w14:textId="77777777" w:rsidR="00982BA4" w:rsidRPr="00E07615" w:rsidRDefault="00982BA4" w:rsidP="0039080A">
            <w:pPr>
              <w:ind w:left="132" w:hanging="132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Plán zádlažeb vč. soupisu zádlažeb (tabulka v .xls)</w:t>
            </w:r>
          </w:p>
        </w:tc>
      </w:tr>
      <w:tr w:rsidR="00982BA4" w:rsidRPr="00E07615" w14:paraId="3C491496" w14:textId="77777777" w:rsidTr="00982BA4">
        <w:trPr>
          <w:trHeight w:val="245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14961" w14:textId="77777777" w:rsidR="00982BA4" w:rsidRPr="00E07615" w:rsidRDefault="00982BA4" w:rsidP="0039080A">
            <w:pPr>
              <w:ind w:left="132" w:hanging="132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Podélný profil projektovaného vedení</w:t>
            </w:r>
          </w:p>
        </w:tc>
      </w:tr>
      <w:tr w:rsidR="00982BA4" w:rsidRPr="00E07615" w14:paraId="68BA1B80" w14:textId="77777777" w:rsidTr="00982BA4">
        <w:trPr>
          <w:trHeight w:val="245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78C31" w14:textId="77777777" w:rsidR="00982BA4" w:rsidRPr="00E07615" w:rsidRDefault="00982BA4" w:rsidP="0039080A">
            <w:pPr>
              <w:ind w:left="132" w:hanging="132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Křižovatky a souběhy cizích zařízení dle potřeby</w:t>
            </w:r>
          </w:p>
        </w:tc>
      </w:tr>
      <w:tr w:rsidR="00982BA4" w:rsidRPr="00E07615" w14:paraId="7E39DC69" w14:textId="77777777" w:rsidTr="00982BA4">
        <w:trPr>
          <w:trHeight w:val="245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DE653" w14:textId="77777777" w:rsidR="00982BA4" w:rsidRPr="00E07615" w:rsidRDefault="00982BA4" w:rsidP="0039080A">
            <w:pPr>
              <w:ind w:left="132" w:hanging="132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Konstrukční a dispoziční výkresy</w:t>
            </w:r>
          </w:p>
        </w:tc>
      </w:tr>
      <w:tr w:rsidR="00982BA4" w:rsidRPr="00E07615" w14:paraId="2C7210EE" w14:textId="77777777" w:rsidTr="00982BA4">
        <w:trPr>
          <w:trHeight w:val="245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99552" w14:textId="77777777" w:rsidR="00982BA4" w:rsidRPr="00E07615" w:rsidRDefault="00982BA4" w:rsidP="0039080A">
            <w:pPr>
              <w:ind w:left="132" w:hanging="132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Způsob označení systému vedení</w:t>
            </w:r>
          </w:p>
        </w:tc>
      </w:tr>
      <w:tr w:rsidR="00982BA4" w:rsidRPr="00E07615" w14:paraId="378CE3BA" w14:textId="77777777" w:rsidTr="00982BA4">
        <w:trPr>
          <w:trHeight w:val="245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03F65" w14:textId="77777777" w:rsidR="00982BA4" w:rsidRPr="00E07615" w:rsidRDefault="00982BA4" w:rsidP="0039080A">
            <w:pPr>
              <w:ind w:left="132" w:hanging="132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Fázové schéma vedení</w:t>
            </w:r>
          </w:p>
        </w:tc>
      </w:tr>
      <w:tr w:rsidR="00982BA4" w:rsidRPr="00E07615" w14:paraId="0256A089" w14:textId="77777777" w:rsidTr="00982BA4">
        <w:trPr>
          <w:trHeight w:val="245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38DD17" w14:textId="77777777" w:rsidR="00982BA4" w:rsidRPr="00E07615" w:rsidRDefault="00982BA4" w:rsidP="00982BA4">
            <w:pPr>
              <w:ind w:left="127" w:hanging="127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CD/DVD se schválenou elektronickou částí PD ve formátu stanoveném v platné ČEZd_ME_0088 </w:t>
            </w:r>
          </w:p>
          <w:p w14:paraId="33092ED6" w14:textId="7BB82546" w:rsidR="00982BA4" w:rsidRPr="00E07615" w:rsidRDefault="00982BA4" w:rsidP="00982BA4">
            <w:pPr>
              <w:ind w:left="127" w:hanging="127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(</w:t>
            </w:r>
            <w:r w:rsidR="00D6632F" w:rsidRPr="00084D5A">
              <w:rPr>
                <w:rFonts w:ascii="Roobert CEZ" w:hAnsi="Roobert CEZ" w:cs="Tahoma"/>
                <w:color w:val="000000"/>
                <w:lang w:eastAsia="en-US"/>
              </w:rPr>
              <w:t>D02.02.02 Podpora zpracování projektové dokumentace stavby; D02.02.03 Zapracování dokumentace skutečného provedení stavby</w:t>
            </w:r>
            <w:r w:rsidRPr="00E07615">
              <w:rPr>
                <w:rFonts w:ascii="Roobert CEZ" w:hAnsi="Roobert CEZ" w:cs="Tahoma"/>
                <w:color w:val="000000"/>
              </w:rPr>
              <w:t>) u liniových staveb vn a vvn v paré č. 1</w:t>
            </w:r>
          </w:p>
        </w:tc>
      </w:tr>
      <w:tr w:rsidR="00982BA4" w:rsidRPr="00E07615" w14:paraId="1075A166" w14:textId="77777777" w:rsidTr="00982BA4">
        <w:trPr>
          <w:trHeight w:val="245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9649C" w14:textId="77777777" w:rsidR="00982BA4" w:rsidRPr="00E07615" w:rsidRDefault="00982BA4" w:rsidP="0039080A">
            <w:pPr>
              <w:ind w:left="132" w:hanging="132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Specifikace stožárů</w:t>
            </w:r>
          </w:p>
        </w:tc>
      </w:tr>
      <w:tr w:rsidR="00982BA4" w:rsidRPr="00E07615" w14:paraId="7FD7DD78" w14:textId="77777777" w:rsidTr="00982BA4">
        <w:trPr>
          <w:trHeight w:val="245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D7FAE" w14:textId="77777777" w:rsidR="00982BA4" w:rsidRPr="00E07615" w:rsidRDefault="00982BA4" w:rsidP="0039080A">
            <w:pPr>
              <w:ind w:left="132" w:hanging="132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uzemnění – výkres, návrh, soupis</w:t>
            </w:r>
          </w:p>
        </w:tc>
      </w:tr>
      <w:tr w:rsidR="00982BA4" w:rsidRPr="00E07615" w14:paraId="315C8BF6" w14:textId="77777777" w:rsidTr="00982BA4">
        <w:trPr>
          <w:trHeight w:val="245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584BB1" w14:textId="77777777" w:rsidR="00982BA4" w:rsidRPr="00E07615" w:rsidRDefault="00982BA4" w:rsidP="0039080A">
            <w:pPr>
              <w:ind w:left="132" w:hanging="132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Soupis betonových základů</w:t>
            </w:r>
          </w:p>
        </w:tc>
      </w:tr>
      <w:tr w:rsidR="00982BA4" w:rsidRPr="00E07615" w14:paraId="227D3022" w14:textId="77777777" w:rsidTr="00982BA4">
        <w:trPr>
          <w:trHeight w:val="245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21ADB" w14:textId="77777777" w:rsidR="00982BA4" w:rsidRPr="00E07615" w:rsidRDefault="00982BA4" w:rsidP="0039080A">
            <w:pPr>
              <w:ind w:left="132" w:hanging="132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Soupis demontovaného materiálu a odpadů, vč. ocenění</w:t>
            </w:r>
          </w:p>
        </w:tc>
      </w:tr>
      <w:tr w:rsidR="00982BA4" w:rsidRPr="00E07615" w14:paraId="66A258A0" w14:textId="77777777" w:rsidTr="00982BA4">
        <w:trPr>
          <w:trHeight w:val="199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C4365" w14:textId="77777777" w:rsidR="00982BA4" w:rsidRPr="00E07615" w:rsidRDefault="00982BA4" w:rsidP="0039080A">
            <w:pPr>
              <w:ind w:left="132" w:hanging="132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Geologický průzkum a výsledky měření </w:t>
            </w:r>
          </w:p>
        </w:tc>
      </w:tr>
      <w:tr w:rsidR="00982BA4" w:rsidRPr="00E07615" w14:paraId="081FAB39" w14:textId="77777777" w:rsidTr="00982BA4">
        <w:trPr>
          <w:trHeight w:val="252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ED148" w14:textId="77777777" w:rsidR="00982BA4" w:rsidRPr="00E07615" w:rsidRDefault="00982BA4" w:rsidP="0039080A">
            <w:pPr>
              <w:ind w:left="132" w:hanging="132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Výpočty vlivů na jiná zařízení</w:t>
            </w:r>
          </w:p>
        </w:tc>
      </w:tr>
      <w:tr w:rsidR="00982BA4" w:rsidRPr="00E07615" w14:paraId="10030B50" w14:textId="77777777" w:rsidTr="00982BA4">
        <w:trPr>
          <w:trHeight w:val="245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D91CD" w14:textId="77777777" w:rsidR="00982BA4" w:rsidRPr="00E07615" w:rsidRDefault="00982BA4" w:rsidP="00982BA4">
            <w:pPr>
              <w:ind w:left="127" w:hanging="127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Řešení náhradní dodávky elektrické energie prostřednictvím náhradního zdroje, náhradní přenosové</w:t>
            </w:r>
          </w:p>
          <w:p w14:paraId="41F86B1F" w14:textId="068F54F8" w:rsidR="00982BA4" w:rsidRPr="00E07615" w:rsidRDefault="00982BA4" w:rsidP="00982BA4">
            <w:pPr>
              <w:ind w:left="127" w:hanging="127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trasy včetně položkového ocenění (ocenění včetně provozních nákladů)</w:t>
            </w:r>
          </w:p>
          <w:p w14:paraId="0EDB5971" w14:textId="77777777" w:rsidR="00982BA4" w:rsidRPr="00E07615" w:rsidRDefault="00982BA4" w:rsidP="0039080A">
            <w:pPr>
              <w:ind w:left="132" w:hanging="132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U NPT je nutné, aby realizace tohoto způsobu byla řádně projednána</w:t>
            </w:r>
          </w:p>
        </w:tc>
      </w:tr>
      <w:tr w:rsidR="00982BA4" w:rsidRPr="00E07615" w14:paraId="223DC402" w14:textId="77777777" w:rsidTr="00982BA4">
        <w:trPr>
          <w:trHeight w:val="245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D5A592" w14:textId="77777777" w:rsidR="00982BA4" w:rsidRPr="00E07615" w:rsidRDefault="00982BA4" w:rsidP="0039080A">
            <w:pPr>
              <w:ind w:left="132" w:hanging="132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Vytyčovací plán včetně souřadnic</w:t>
            </w:r>
          </w:p>
        </w:tc>
      </w:tr>
      <w:tr w:rsidR="00982BA4" w:rsidRPr="00E07615" w14:paraId="1695CE55" w14:textId="77777777" w:rsidTr="00982BA4">
        <w:trPr>
          <w:trHeight w:val="187"/>
        </w:trPr>
        <w:tc>
          <w:tcPr>
            <w:tcW w:w="500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953EC5" w14:textId="77777777" w:rsidR="00982BA4" w:rsidRPr="00E07615" w:rsidRDefault="00982BA4" w:rsidP="0039080A">
            <w:pPr>
              <w:ind w:left="132" w:hanging="132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Rozpočet stavby dle závazných pravidel rozpočtování včetně Rekapitulací nákladů</w:t>
            </w:r>
          </w:p>
        </w:tc>
      </w:tr>
      <w:tr w:rsidR="00982BA4" w:rsidRPr="00E07615" w14:paraId="3FC40D35" w14:textId="77777777" w:rsidTr="00982BA4">
        <w:trPr>
          <w:trHeight w:val="262"/>
        </w:trPr>
        <w:tc>
          <w:tcPr>
            <w:tcW w:w="500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9404A" w14:textId="77777777" w:rsidR="00982BA4" w:rsidRPr="00E07615" w:rsidRDefault="00982BA4" w:rsidP="0039080A">
            <w:pPr>
              <w:ind w:left="132" w:hanging="132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Rozpočet stavby pro veřejnou zakázku v rozsahu vyhlášky 230/2012</w:t>
            </w:r>
          </w:p>
        </w:tc>
      </w:tr>
      <w:tr w:rsidR="00982BA4" w:rsidRPr="00E07615" w14:paraId="077E52F5" w14:textId="77777777" w:rsidTr="00982BA4">
        <w:trPr>
          <w:trHeight w:val="245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3B782E" w14:textId="77777777" w:rsidR="00982BA4" w:rsidRPr="00E07615" w:rsidRDefault="00982BA4" w:rsidP="0039080A">
            <w:pPr>
              <w:ind w:left="132" w:hanging="132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Ostatní dokumenty dle závazných pravidel rozpočtování</w:t>
            </w:r>
          </w:p>
        </w:tc>
      </w:tr>
      <w:tr w:rsidR="00982BA4" w:rsidRPr="00E07615" w14:paraId="24EBBFD5" w14:textId="77777777" w:rsidTr="00982BA4">
        <w:trPr>
          <w:trHeight w:val="142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41371B" w14:textId="7D38C115" w:rsidR="00982BA4" w:rsidRPr="00E07615" w:rsidRDefault="00982BA4" w:rsidP="0039080A">
            <w:pPr>
              <w:ind w:left="132" w:hanging="132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Specifikace strojů a zařízení</w:t>
            </w:r>
          </w:p>
        </w:tc>
      </w:tr>
      <w:tr w:rsidR="00982BA4" w:rsidRPr="00E07615" w14:paraId="2543511A" w14:textId="77777777" w:rsidTr="00982BA4">
        <w:trPr>
          <w:trHeight w:val="176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B0AA0" w14:textId="78EB198F" w:rsidR="00982BA4" w:rsidRPr="00E07615" w:rsidRDefault="00982BA4" w:rsidP="0039080A">
            <w:pPr>
              <w:ind w:left="132" w:hanging="132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Dopravně inženýrské opatření</w:t>
            </w:r>
          </w:p>
        </w:tc>
      </w:tr>
      <w:tr w:rsidR="00982BA4" w:rsidRPr="00E07615" w14:paraId="4CD91B9B" w14:textId="77777777" w:rsidTr="00982BA4">
        <w:trPr>
          <w:trHeight w:val="211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B1609" w14:textId="140C9F39" w:rsidR="00982BA4" w:rsidRPr="00E07615" w:rsidRDefault="00982BA4" w:rsidP="0039080A">
            <w:pPr>
              <w:ind w:left="132" w:hanging="132"/>
              <w:rPr>
                <w:rFonts w:ascii="Roobert CEZ" w:hAnsi="Roobert CEZ" w:cs="Tahoma"/>
                <w:color w:val="000000"/>
              </w:rPr>
            </w:pPr>
            <w:r w:rsidRPr="00E07615">
              <w:rPr>
                <w:rFonts w:ascii="Roobert CEZ" w:hAnsi="Roobert CEZ" w:cs="Tahoma"/>
                <w:color w:val="000000"/>
              </w:rPr>
              <w:t xml:space="preserve"> Geodetické zaměření podkladu pro projekt</w:t>
            </w:r>
          </w:p>
        </w:tc>
      </w:tr>
    </w:tbl>
    <w:p w14:paraId="75C6A59C" w14:textId="6F28346D" w:rsidR="00AF478F" w:rsidRPr="00E07615" w:rsidRDefault="00AF478F" w:rsidP="00AF478F">
      <w:pPr>
        <w:jc w:val="both"/>
        <w:rPr>
          <w:rFonts w:ascii="Roobert CEZ" w:hAnsi="Roobert CEZ" w:cs="Tahoma"/>
        </w:rPr>
      </w:pPr>
    </w:p>
    <w:p w14:paraId="60CC4522" w14:textId="77777777" w:rsidR="00AF478F" w:rsidRPr="00E07615" w:rsidRDefault="00AF478F" w:rsidP="00AF478F">
      <w:pPr>
        <w:jc w:val="both"/>
        <w:rPr>
          <w:rFonts w:ascii="Roobert CEZ" w:hAnsi="Roobert CEZ" w:cs="Tahoma"/>
          <w:color w:val="000000"/>
        </w:rPr>
      </w:pPr>
      <w:r w:rsidRPr="00E07615">
        <w:rPr>
          <w:rFonts w:ascii="Roobert CEZ" w:hAnsi="Roobert CEZ" w:cs="Tahoma"/>
          <w:b/>
          <w:bCs/>
          <w:color w:val="000000"/>
        </w:rPr>
        <w:t>U staveb typu rozvodny apod. může být rozsah a obsah PD specifikován v SoD.</w:t>
      </w:r>
    </w:p>
    <w:p w14:paraId="3C268A66" w14:textId="0C9F5C24" w:rsidR="00AF478F" w:rsidRPr="00E07615" w:rsidRDefault="00AF478F" w:rsidP="00AF478F">
      <w:pPr>
        <w:jc w:val="both"/>
        <w:rPr>
          <w:rFonts w:ascii="Roobert CEZ" w:hAnsi="Roobert CEZ" w:cs="Tahoma"/>
          <w:color w:val="000000"/>
        </w:rPr>
      </w:pPr>
    </w:p>
    <w:p w14:paraId="1785261C" w14:textId="12D74C1D" w:rsidR="00AF478F" w:rsidRPr="00E07615" w:rsidRDefault="00AF478F" w:rsidP="00AF478F">
      <w:pPr>
        <w:jc w:val="both"/>
        <w:rPr>
          <w:rFonts w:ascii="Roobert CEZ" w:hAnsi="Roobert CEZ" w:cs="Tahoma"/>
          <w:color w:val="000000"/>
        </w:rPr>
      </w:pPr>
      <w:r w:rsidRPr="00E07615">
        <w:rPr>
          <w:rFonts w:ascii="Roobert CEZ" w:hAnsi="Roobert CEZ" w:cs="Tahoma"/>
          <w:color w:val="000000"/>
        </w:rPr>
        <w:t>Obsah PD:</w:t>
      </w:r>
    </w:p>
    <w:p w14:paraId="4F82C504" w14:textId="77777777" w:rsidR="00AF478F" w:rsidRPr="00E07615" w:rsidRDefault="00AF478F" w:rsidP="00AF478F">
      <w:pPr>
        <w:jc w:val="both"/>
        <w:rPr>
          <w:rFonts w:ascii="Roobert CEZ" w:hAnsi="Roobert CEZ" w:cs="Tahoma"/>
          <w:color w:val="000000"/>
        </w:rPr>
      </w:pPr>
    </w:p>
    <w:p w14:paraId="6A13C434" w14:textId="22B44BA7" w:rsidR="00AF478F" w:rsidRPr="00E07615" w:rsidRDefault="00AF478F" w:rsidP="00AF478F">
      <w:pPr>
        <w:pStyle w:val="Odstavecseseznamem"/>
        <w:numPr>
          <w:ilvl w:val="0"/>
          <w:numId w:val="2"/>
        </w:numPr>
        <w:jc w:val="both"/>
        <w:rPr>
          <w:rFonts w:ascii="Roobert CEZ" w:hAnsi="Roobert CEZ" w:cs="Tahoma"/>
          <w:color w:val="000000"/>
        </w:rPr>
      </w:pPr>
      <w:r w:rsidRPr="00E07615">
        <w:rPr>
          <w:rFonts w:ascii="Roobert CEZ" w:hAnsi="Roobert CEZ" w:cs="Tahoma"/>
          <w:color w:val="000000"/>
        </w:rPr>
        <w:t>Musí být v každé dokumentaci, pokud daný případ nastal;</w:t>
      </w:r>
    </w:p>
    <w:p w14:paraId="135AFC66" w14:textId="12B352A6" w:rsidR="00AF478F" w:rsidRPr="00E07615" w:rsidRDefault="00AF478F" w:rsidP="00AF478F">
      <w:pPr>
        <w:pStyle w:val="Odstavecseseznamem"/>
        <w:numPr>
          <w:ilvl w:val="0"/>
          <w:numId w:val="2"/>
        </w:numPr>
        <w:jc w:val="both"/>
        <w:rPr>
          <w:rFonts w:ascii="Roobert CEZ" w:hAnsi="Roobert CEZ" w:cs="Tahoma"/>
          <w:color w:val="000000"/>
        </w:rPr>
      </w:pPr>
      <w:r w:rsidRPr="00E07615">
        <w:rPr>
          <w:rFonts w:ascii="Roobert CEZ" w:hAnsi="Roobert CEZ" w:cs="Tahoma"/>
          <w:color w:val="000000"/>
        </w:rPr>
        <w:t>Musí být součástí CD/DVD v elektronické podobě (DOC, DGN, XLS, TXT apod.), pokud daný případ nastal;</w:t>
      </w:r>
    </w:p>
    <w:p w14:paraId="2491920C" w14:textId="22E03658" w:rsidR="00AF478F" w:rsidRPr="00E07615" w:rsidRDefault="00AF478F" w:rsidP="00AF478F">
      <w:pPr>
        <w:ind w:left="708"/>
        <w:jc w:val="both"/>
        <w:rPr>
          <w:rFonts w:ascii="Roobert CEZ" w:hAnsi="Roobert CEZ" w:cs="Tahoma"/>
          <w:color w:val="000000"/>
        </w:rPr>
      </w:pPr>
    </w:p>
    <w:p w14:paraId="13F4A3DA" w14:textId="627AEB7C" w:rsidR="007E0F95" w:rsidRPr="00E07615" w:rsidRDefault="00AF478F" w:rsidP="00AF478F">
      <w:pPr>
        <w:jc w:val="both"/>
        <w:rPr>
          <w:rFonts w:ascii="Roobert CEZ" w:hAnsi="Roobert CEZ"/>
        </w:rPr>
      </w:pPr>
      <w:r w:rsidRPr="00E07615">
        <w:rPr>
          <w:rFonts w:ascii="Roobert CEZ" w:hAnsi="Roobert CEZ" w:cs="Tahoma"/>
        </w:rPr>
        <w:t>Proces odsouhlasování PD bude prováděn v souladu s požadavky platné metodiky ČEZd_ME_0216 Obnova DS</w:t>
      </w:r>
      <w:r w:rsidR="007115A1">
        <w:rPr>
          <w:rFonts w:ascii="Roobert CEZ" w:hAnsi="Roobert CEZ" w:cs="Tahoma"/>
        </w:rPr>
        <w:t xml:space="preserve">, dostupné </w:t>
      </w:r>
      <w:r w:rsidRPr="00E07615">
        <w:rPr>
          <w:rFonts w:ascii="Roobert CEZ" w:hAnsi="Roobert CEZ" w:cs="Tahoma"/>
        </w:rPr>
        <w:t>na Portálu Standardy</w:t>
      </w:r>
      <w:r w:rsidR="00E07615">
        <w:rPr>
          <w:rFonts w:ascii="Roobert CEZ" w:hAnsi="Roobert CEZ" w:cs="Tahoma"/>
        </w:rPr>
        <w:t>.</w:t>
      </w:r>
    </w:p>
    <w:sectPr w:rsidR="007E0F95" w:rsidRPr="00E07615" w:rsidSect="00AE5F6C">
      <w:headerReference w:type="default" r:id="rId8"/>
      <w:pgSz w:w="11906" w:h="16838"/>
      <w:pgMar w:top="1134" w:right="1418" w:bottom="992" w:left="1418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7BA09" w14:textId="77777777" w:rsidR="006F27CE" w:rsidRDefault="006F27CE" w:rsidP="00EF785F">
      <w:r>
        <w:separator/>
      </w:r>
    </w:p>
  </w:endnote>
  <w:endnote w:type="continuationSeparator" w:id="0">
    <w:p w14:paraId="091906C4" w14:textId="77777777" w:rsidR="006F27CE" w:rsidRDefault="006F27CE" w:rsidP="00EF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obert CEZ">
    <w:panose1 w:val="00000000000000000000"/>
    <w:charset w:val="EE"/>
    <w:family w:val="auto"/>
    <w:pitch w:val="variable"/>
    <w:sig w:usb0="A10000FF" w:usb1="00006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E76E7" w14:textId="77777777" w:rsidR="006F27CE" w:rsidRDefault="006F27CE" w:rsidP="00EF785F">
      <w:r>
        <w:separator/>
      </w:r>
    </w:p>
  </w:footnote>
  <w:footnote w:type="continuationSeparator" w:id="0">
    <w:p w14:paraId="0204D9E7" w14:textId="77777777" w:rsidR="006F27CE" w:rsidRDefault="006F27CE" w:rsidP="00EF7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E772" w14:textId="20A8D408" w:rsidR="00EF785F" w:rsidRPr="00E07615" w:rsidRDefault="00EF785F" w:rsidP="00EF785F">
    <w:pPr>
      <w:pStyle w:val="Zhlav"/>
      <w:jc w:val="right"/>
      <w:rPr>
        <w:rFonts w:ascii="Roobert CEZ" w:hAnsi="Roobert CEZ" w:cs="Tahoma"/>
      </w:rPr>
    </w:pPr>
    <w:r w:rsidRPr="00E07615">
      <w:rPr>
        <w:rFonts w:ascii="Roobert CEZ" w:hAnsi="Roobert CEZ" w:cs="Tahoma"/>
        <w:noProof/>
      </w:rPr>
      <w:t xml:space="preserve">Příloha č. </w:t>
    </w:r>
    <w:r w:rsidR="00982BA4" w:rsidRPr="00E07615">
      <w:rPr>
        <w:rFonts w:ascii="Roobert CEZ" w:hAnsi="Roobert CEZ" w:cs="Tahoma"/>
        <w:noProof/>
      </w:rPr>
      <w:t>4</w:t>
    </w:r>
    <w:r w:rsidRPr="00E07615">
      <w:rPr>
        <w:rFonts w:ascii="Roobert CEZ" w:hAnsi="Roobert CEZ" w:cs="Tahoma"/>
        <w:noProof/>
      </w:rPr>
      <w:t>_</w:t>
    </w:r>
    <w:r w:rsidR="00982BA4" w:rsidRPr="00E07615">
      <w:rPr>
        <w:rFonts w:ascii="Roobert CEZ" w:hAnsi="Roobert CEZ" w:cs="Tahoma"/>
      </w:rPr>
      <w:t>Závazný rozsah a obsah projektové dokumentace</w:t>
    </w:r>
    <w:r w:rsidRPr="00E07615">
      <w:rPr>
        <w:rFonts w:ascii="Roobert CEZ" w:hAnsi="Roobert CEZ" w:cs="Tahoma"/>
        <w:noProof/>
      </w:rPr>
      <w:t>_v0</w:t>
    </w:r>
    <w:r w:rsidR="00583D09">
      <w:rPr>
        <w:rFonts w:ascii="Roobert CEZ" w:hAnsi="Roobert CEZ" w:cs="Tahoma"/>
        <w:noProof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E3DEF"/>
    <w:multiLevelType w:val="hybridMultilevel"/>
    <w:tmpl w:val="5CCC7AD4"/>
    <w:lvl w:ilvl="0" w:tplc="FFFFFFFF">
      <w:start w:val="1"/>
      <w:numFmt w:val="bullet"/>
      <w:lvlText w:val="-"/>
      <w:lvlJc w:val="left"/>
      <w:pPr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9019C"/>
    <w:multiLevelType w:val="multilevel"/>
    <w:tmpl w:val="D40A1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50967219">
    <w:abstractNumId w:val="1"/>
  </w:num>
  <w:num w:numId="2" w16cid:durableId="1556431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5F"/>
    <w:rsid w:val="003B1881"/>
    <w:rsid w:val="00583D09"/>
    <w:rsid w:val="00632098"/>
    <w:rsid w:val="006F27CE"/>
    <w:rsid w:val="007115A1"/>
    <w:rsid w:val="00786740"/>
    <w:rsid w:val="007E0F95"/>
    <w:rsid w:val="00982BA4"/>
    <w:rsid w:val="00AE5F6C"/>
    <w:rsid w:val="00AF478F"/>
    <w:rsid w:val="00BD3268"/>
    <w:rsid w:val="00D6632F"/>
    <w:rsid w:val="00E07615"/>
    <w:rsid w:val="00E47E5C"/>
    <w:rsid w:val="00EF785F"/>
    <w:rsid w:val="00F5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98BB49"/>
  <w15:chartTrackingRefBased/>
  <w15:docId w15:val="{459520FD-0E7E-496E-B266-4028CB1C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85F"/>
    <w:rPr>
      <w:rFonts w:ascii="Times New Roman" w:hAnsi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8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785F"/>
  </w:style>
  <w:style w:type="paragraph" w:styleId="Zpat">
    <w:name w:val="footer"/>
    <w:basedOn w:val="Normln"/>
    <w:link w:val="ZpatChar"/>
    <w:uiPriority w:val="99"/>
    <w:unhideWhenUsed/>
    <w:rsid w:val="00EF78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785F"/>
  </w:style>
  <w:style w:type="paragraph" w:styleId="Textbubliny">
    <w:name w:val="Balloon Text"/>
    <w:basedOn w:val="Normln"/>
    <w:link w:val="TextbublinyChar"/>
    <w:uiPriority w:val="99"/>
    <w:semiHidden/>
    <w:unhideWhenUsed/>
    <w:rsid w:val="00AF47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478F"/>
    <w:rPr>
      <w:rFonts w:ascii="Segoe UI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F478F"/>
    <w:pPr>
      <w:ind w:left="720"/>
      <w:contextualSpacing/>
    </w:pPr>
  </w:style>
  <w:style w:type="paragraph" w:styleId="Revize">
    <w:name w:val="Revision"/>
    <w:hidden/>
    <w:uiPriority w:val="99"/>
    <w:semiHidden/>
    <w:rsid w:val="00583D09"/>
    <w:rPr>
      <w:rFonts w:ascii="Times New Roman" w:hAnsi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 Přemysl</dc:creator>
  <cp:keywords/>
  <dc:description/>
  <cp:lastModifiedBy>Krupa Přemysl</cp:lastModifiedBy>
  <cp:revision>10</cp:revision>
  <dcterms:created xsi:type="dcterms:W3CDTF">2021-11-26T08:12:00Z</dcterms:created>
  <dcterms:modified xsi:type="dcterms:W3CDTF">2023-12-11T09:58:00Z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2021-11-26T08:17:36Z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69c07441-9fe3-4af8-8fc3-1d91d4812d06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</Properties>
</file>